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9E8" w:rsidRPr="009969E8" w:rsidRDefault="009969E8" w:rsidP="009969E8">
      <w:pPr>
        <w:spacing w:before="120" w:after="0" w:line="240" w:lineRule="auto"/>
        <w:ind w:right="29"/>
        <w:jc w:val="both"/>
        <w:rPr>
          <w:rFonts w:eastAsia="Calibri" w:cs="Arial"/>
          <w:b/>
          <w:sz w:val="24"/>
          <w:szCs w:val="24"/>
          <w:lang w:val="en-GB"/>
        </w:rPr>
      </w:pPr>
      <w:r w:rsidRPr="009969E8">
        <w:rPr>
          <w:rFonts w:eastAsia="Calibri" w:cs="Arial"/>
          <w:b/>
          <w:sz w:val="24"/>
          <w:szCs w:val="24"/>
          <w:lang w:val="en-GB"/>
        </w:rPr>
        <w:t xml:space="preserve">&lt; Name of the </w:t>
      </w:r>
      <w:proofErr w:type="spellStart"/>
      <w:r w:rsidRPr="009969E8">
        <w:rPr>
          <w:rFonts w:eastAsia="Calibri" w:cs="Arial"/>
          <w:b/>
          <w:sz w:val="24"/>
          <w:szCs w:val="24"/>
          <w:lang w:val="en-GB"/>
        </w:rPr>
        <w:t>Biotherapeutic</w:t>
      </w:r>
      <w:proofErr w:type="spellEnd"/>
      <w:r w:rsidRPr="009969E8">
        <w:rPr>
          <w:rFonts w:eastAsia="Calibri" w:cs="Arial"/>
          <w:b/>
          <w:sz w:val="24"/>
          <w:szCs w:val="24"/>
          <w:lang w:val="en-GB"/>
        </w:rPr>
        <w:t xml:space="preserve"> product &gt;</w:t>
      </w:r>
    </w:p>
    <w:p w:rsidR="009969E8" w:rsidRPr="009969E8" w:rsidRDefault="009969E8" w:rsidP="009969E8">
      <w:pPr>
        <w:spacing w:after="0" w:line="240" w:lineRule="auto"/>
        <w:ind w:right="27"/>
        <w:jc w:val="both"/>
        <w:rPr>
          <w:rFonts w:eastAsia="Calibri" w:cs="Arial"/>
          <w:b/>
          <w:sz w:val="24"/>
          <w:szCs w:val="24"/>
          <w:lang w:val="en-GB"/>
        </w:rPr>
      </w:pPr>
      <w:r w:rsidRPr="009969E8">
        <w:rPr>
          <w:rFonts w:eastAsia="Calibri" w:cs="Arial"/>
          <w:b/>
          <w:sz w:val="24"/>
          <w:szCs w:val="24"/>
          <w:lang w:val="en-GB"/>
        </w:rPr>
        <w:t>&lt; National Drug Authority); Date......... &gt;</w:t>
      </w:r>
    </w:p>
    <w:p w:rsidR="009969E8" w:rsidRPr="009969E8" w:rsidRDefault="009969E8" w:rsidP="009969E8">
      <w:pPr>
        <w:spacing w:after="0" w:line="240" w:lineRule="auto"/>
        <w:ind w:right="27"/>
        <w:jc w:val="both"/>
        <w:rPr>
          <w:rFonts w:eastAsia="Calibri" w:cs="Arial"/>
          <w:b/>
          <w:sz w:val="24"/>
          <w:szCs w:val="24"/>
          <w:lang w:val="en-GB"/>
        </w:rPr>
      </w:pPr>
    </w:p>
    <w:p w:rsidR="009969E8" w:rsidRPr="009969E8" w:rsidRDefault="009969E8" w:rsidP="009969E8">
      <w:pPr>
        <w:spacing w:after="0" w:line="240" w:lineRule="auto"/>
        <w:ind w:right="27"/>
        <w:jc w:val="both"/>
        <w:rPr>
          <w:rFonts w:eastAsia="Calibri" w:cs="Arial"/>
          <w:sz w:val="24"/>
          <w:szCs w:val="24"/>
          <w:lang w:val="en-GB"/>
        </w:rPr>
      </w:pPr>
      <w:r w:rsidRPr="009969E8">
        <w:rPr>
          <w:rFonts w:eastAsia="Calibri" w:cs="Arial"/>
          <w:b/>
          <w:sz w:val="24"/>
          <w:szCs w:val="24"/>
          <w:lang w:val="en-GB"/>
        </w:rPr>
        <w:t>PART A - ADMINISTRATIVE INFORMATION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271"/>
        <w:gridCol w:w="2497"/>
        <w:gridCol w:w="5298"/>
      </w:tblGrid>
      <w:tr w:rsidR="009969E8" w:rsidRPr="009969E8" w:rsidTr="00CA69A2">
        <w:trPr>
          <w:tblHeader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Sr. No.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To be completed By</w:t>
            </w:r>
          </w:p>
        </w:tc>
        <w:tc>
          <w:tcPr>
            <w:tcW w:w="34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numPr>
                <w:ilvl w:val="0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rPr>
                <w:rFonts w:eastAsia="Calibri" w:cs="Arial"/>
                <w:sz w:val="24"/>
                <w:szCs w:val="24"/>
                <w:lang w:val="en-GB"/>
              </w:rPr>
            </w:pPr>
            <w:proofErr w:type="spellStart"/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Biotherapeutic</w:t>
            </w:r>
            <w:proofErr w:type="spellEnd"/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 Product Information</w:t>
            </w:r>
          </w:p>
        </w:tc>
      </w:tr>
      <w:tr w:rsidR="009969E8" w:rsidRPr="009969E8" w:rsidTr="00CA69A2">
        <w:trPr>
          <w:trHeight w:val="77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Name of the </w:t>
            </w:r>
            <w:r w:rsidRPr="009969E8">
              <w:rPr>
                <w:rFonts w:eastAsia="Calibri" w:cs="Arial"/>
                <w:b/>
                <w:sz w:val="24"/>
                <w:szCs w:val="24"/>
              </w:rPr>
              <w:t xml:space="preserve"> </w:t>
            </w:r>
            <w:proofErr w:type="spellStart"/>
            <w:r w:rsidRPr="009969E8">
              <w:rPr>
                <w:rFonts w:eastAsia="Calibri" w:cs="Arial"/>
                <w:b/>
                <w:sz w:val="24"/>
                <w:szCs w:val="24"/>
              </w:rPr>
              <w:t>Biotherapeutic</w:t>
            </w:r>
            <w:proofErr w:type="spellEnd"/>
            <w:r w:rsidRPr="009969E8">
              <w:rPr>
                <w:rFonts w:eastAsia="Calibri" w:cs="Arial"/>
                <w:b/>
                <w:sz w:val="24"/>
                <w:szCs w:val="24"/>
              </w:rPr>
              <w:t xml:space="preserve"> Product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&lt; Invented/Trade name &gt;</w:t>
            </w:r>
          </w:p>
        </w:tc>
      </w:tr>
      <w:tr w:rsidR="009969E8" w:rsidRPr="009969E8" w:rsidTr="00CA69A2">
        <w:trPr>
          <w:trHeight w:val="77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Indications for RBP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Indications for reference </w:t>
            </w: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biotherapeutic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 product in full or summary + English reference</w:t>
            </w:r>
          </w:p>
        </w:tc>
      </w:tr>
      <w:tr w:rsidR="009969E8" w:rsidRPr="009969E8" w:rsidTr="00CA69A2">
        <w:trPr>
          <w:trHeight w:val="34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  <w:r w:rsidRPr="009969E8" w:rsidDel="00F2108C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MAH 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Name and address</w:t>
            </w:r>
          </w:p>
        </w:tc>
      </w:tr>
      <w:tr w:rsidR="009969E8" w:rsidRPr="009969E8" w:rsidTr="00CA69A2">
        <w:trPr>
          <w:trHeight w:val="153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  <w:r w:rsidRPr="009969E8" w:rsidDel="00F2108C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Active </w:t>
            </w:r>
            <w:r w:rsidRPr="009969E8">
              <w:rPr>
                <w:rFonts w:eastAsia="Calibri" w:cs="Arial"/>
                <w:b/>
                <w:sz w:val="24"/>
                <w:szCs w:val="24"/>
              </w:rPr>
              <w:t>ingredient</w:t>
            </w: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 manufacturing facilities and batch release site for the finished product </w:t>
            </w: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(if applicable)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&lt; Name(s) and address(</w:t>
            </w: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es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) &gt;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&lt; Confidential – Not Released &gt;</w:t>
            </w:r>
          </w:p>
        </w:tc>
      </w:tr>
      <w:tr w:rsidR="009969E8" w:rsidRPr="009969E8" w:rsidTr="00CA69A2">
        <w:trPr>
          <w:trHeight w:val="70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  <w:r w:rsidRPr="009969E8" w:rsidDel="00F2108C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Name of the active </w:t>
            </w:r>
            <w:r w:rsidRPr="009969E8">
              <w:rPr>
                <w:rFonts w:eastAsia="Calibri" w:cs="Arial"/>
                <w:b/>
                <w:sz w:val="24"/>
                <w:szCs w:val="24"/>
              </w:rPr>
              <w:t>ingredient</w:t>
            </w: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(s)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 (INN/ Common name/ Local name/ BQ if applicable)</w:t>
            </w:r>
          </w:p>
        </w:tc>
      </w:tr>
      <w:tr w:rsidR="009969E8" w:rsidRPr="009969E8" w:rsidTr="00CA69A2">
        <w:trPr>
          <w:trHeight w:val="52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  <w:r w:rsidRPr="009969E8" w:rsidDel="00F2108C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proofErr w:type="spellStart"/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Pharmaco</w:t>
            </w:r>
            <w:proofErr w:type="spellEnd"/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-therapeutic group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e.g. ATC code</w:t>
            </w:r>
          </w:p>
        </w:tc>
      </w:tr>
      <w:tr w:rsidR="009969E8" w:rsidRPr="009969E8" w:rsidTr="00CA69A2">
        <w:trPr>
          <w:trHeight w:val="97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  <w:r w:rsidRPr="009969E8" w:rsidDel="00F2108C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Substance category 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As described in International </w:t>
            </w: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Nonproprietary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 Names (INN) for biological and biotechnological substances </w:t>
            </w:r>
            <w:hyperlink r:id="rId7" w:history="1">
              <w:r w:rsidRPr="009969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https://www.who.int/medicines/services/inn/BioRev2014.pdf</w:t>
              </w:r>
            </w:hyperlink>
          </w:p>
        </w:tc>
      </w:tr>
      <w:tr w:rsidR="009969E8" w:rsidRPr="009969E8" w:rsidTr="00CA69A2">
        <w:trPr>
          <w:trHeight w:val="4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  <w:r w:rsidRPr="009969E8" w:rsidDel="00F2108C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Pharmaceutical form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Standard Term</w:t>
            </w:r>
          </w:p>
        </w:tc>
      </w:tr>
      <w:tr w:rsidR="009969E8" w:rsidRPr="009969E8" w:rsidTr="00CA69A2">
        <w:trPr>
          <w:trHeight w:val="54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  <w:r w:rsidRPr="009969E8" w:rsidDel="00E31AEC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Quantitative composition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Strength</w:t>
            </w:r>
          </w:p>
        </w:tc>
      </w:tr>
      <w:tr w:rsidR="009969E8" w:rsidRPr="009969E8" w:rsidTr="00CA69A2">
        <w:trPr>
          <w:trHeight w:val="61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  <w:r w:rsidRPr="009969E8" w:rsidDel="00E31AEC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Route of administration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Route </w:t>
            </w:r>
          </w:p>
        </w:tc>
      </w:tr>
      <w:tr w:rsidR="009969E8" w:rsidRPr="009969E8" w:rsidTr="00CA69A2">
        <w:trPr>
          <w:trHeight w:val="52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Packaging/material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Primary container</w:t>
            </w:r>
          </w:p>
        </w:tc>
      </w:tr>
      <w:tr w:rsidR="009969E8" w:rsidRPr="009969E8" w:rsidTr="00CA69A2">
        <w:trPr>
          <w:trHeight w:val="31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Package size(s)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Presentations available</w:t>
            </w:r>
          </w:p>
        </w:tc>
      </w:tr>
      <w:tr w:rsidR="009969E8" w:rsidRPr="009969E8" w:rsidTr="00CA69A2">
        <w:trPr>
          <w:trHeight w:val="48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Local legal basis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Legislative Reference</w:t>
            </w:r>
          </w:p>
        </w:tc>
      </w:tr>
      <w:tr w:rsidR="009969E8" w:rsidRPr="009969E8" w:rsidTr="00CA69A2">
        <w:trPr>
          <w:trHeight w:val="108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Local</w:t>
            </w:r>
            <w:r w:rsidRPr="009969E8">
              <w:rPr>
                <w:rFonts w:eastAsia="Calibri" w:cs="Arial"/>
                <w:b/>
                <w:sz w:val="24"/>
                <w:szCs w:val="24"/>
              </w:rPr>
              <w:t xml:space="preserve"> </w:t>
            </w:r>
            <w:proofErr w:type="spellStart"/>
            <w:r w:rsidRPr="009969E8">
              <w:rPr>
                <w:rFonts w:eastAsia="Calibri" w:cs="Arial"/>
                <w:b/>
                <w:sz w:val="24"/>
                <w:szCs w:val="24"/>
              </w:rPr>
              <w:t>Biotherapeutic</w:t>
            </w:r>
            <w:proofErr w:type="spellEnd"/>
            <w:r w:rsidRPr="009969E8">
              <w:rPr>
                <w:rFonts w:eastAsia="Calibri" w:cs="Arial"/>
                <w:b/>
                <w:sz w:val="24"/>
                <w:szCs w:val="24"/>
              </w:rPr>
              <w:t xml:space="preserve"> Product </w:t>
            </w: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guidelines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Reference to applicable guidelines</w:t>
            </w:r>
          </w:p>
        </w:tc>
      </w:tr>
      <w:tr w:rsidR="009969E8" w:rsidRPr="009969E8" w:rsidTr="00CA69A2">
        <w:trPr>
          <w:trHeight w:val="1513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0" w:afterAutospacing="1" w:line="24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NDA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Date of authorisation/licensing of </w:t>
            </w:r>
            <w:proofErr w:type="spellStart"/>
            <w:r w:rsidRPr="009969E8">
              <w:rPr>
                <w:rFonts w:eastAsia="Calibri" w:cs="Arial"/>
                <w:b/>
                <w:sz w:val="24"/>
                <w:szCs w:val="24"/>
              </w:rPr>
              <w:t>Biotherapeutic</w:t>
            </w:r>
            <w:proofErr w:type="spellEnd"/>
            <w:r w:rsidRPr="009969E8">
              <w:rPr>
                <w:rFonts w:eastAsia="Calibri" w:cs="Arial"/>
                <w:b/>
                <w:sz w:val="24"/>
                <w:szCs w:val="24"/>
              </w:rPr>
              <w:t xml:space="preserve"> Product</w:t>
            </w:r>
          </w:p>
        </w:tc>
        <w:tc>
          <w:tcPr>
            <w:tcW w:w="17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Approval date for </w:t>
            </w: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Biotherapeutic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 product</w:t>
            </w:r>
          </w:p>
        </w:tc>
      </w:tr>
    </w:tbl>
    <w:p w:rsidR="009969E8" w:rsidRPr="009969E8" w:rsidRDefault="009969E8" w:rsidP="009969E8">
      <w:pPr>
        <w:spacing w:after="0" w:line="240" w:lineRule="auto"/>
        <w:ind w:right="27"/>
        <w:rPr>
          <w:rFonts w:eastAsia="Calibri" w:cs="Arial"/>
          <w:sz w:val="24"/>
          <w:szCs w:val="24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"/>
        <w:gridCol w:w="2088"/>
        <w:gridCol w:w="3437"/>
        <w:gridCol w:w="3179"/>
      </w:tblGrid>
      <w:tr w:rsidR="009969E8" w:rsidRPr="009969E8" w:rsidTr="00CA69A2">
        <w:tc>
          <w:tcPr>
            <w:tcW w:w="485" w:type="pct"/>
            <w:vAlign w:val="center"/>
          </w:tcPr>
          <w:p w:rsidR="009969E8" w:rsidRPr="009969E8" w:rsidRDefault="009969E8" w:rsidP="009969E8">
            <w:pPr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Sr. No.</w:t>
            </w:r>
          </w:p>
        </w:tc>
        <w:tc>
          <w:tcPr>
            <w:tcW w:w="1083" w:type="pct"/>
          </w:tcPr>
          <w:p w:rsidR="009969E8" w:rsidRPr="009969E8" w:rsidRDefault="009969E8" w:rsidP="009969E8">
            <w:pPr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To be completed By</w:t>
            </w:r>
          </w:p>
        </w:tc>
        <w:tc>
          <w:tcPr>
            <w:tcW w:w="3432" w:type="pct"/>
            <w:gridSpan w:val="2"/>
          </w:tcPr>
          <w:p w:rsidR="009969E8" w:rsidRPr="009969E8" w:rsidRDefault="009969E8" w:rsidP="009969E8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ind w:right="27"/>
              <w:contextualSpacing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Summary of outcomes</w:t>
            </w:r>
          </w:p>
        </w:tc>
      </w:tr>
      <w:tr w:rsidR="009969E8" w:rsidRPr="009969E8" w:rsidTr="00CA69A2">
        <w:tc>
          <w:tcPr>
            <w:tcW w:w="485" w:type="pct"/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100" w:afterAutospacing="1" w:line="36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83" w:type="pct"/>
            <w:vAlign w:val="center"/>
          </w:tcPr>
          <w:p w:rsidR="009969E8" w:rsidRPr="009969E8" w:rsidRDefault="009969E8" w:rsidP="009969E8">
            <w:pPr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1783" w:type="pct"/>
            <w:vAlign w:val="center"/>
          </w:tcPr>
          <w:p w:rsidR="009969E8" w:rsidRPr="009969E8" w:rsidRDefault="009969E8" w:rsidP="009969E8">
            <w:pPr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Quality data</w:t>
            </w:r>
          </w:p>
        </w:tc>
        <w:tc>
          <w:tcPr>
            <w:tcW w:w="1649" w:type="pct"/>
            <w:vAlign w:val="center"/>
          </w:tcPr>
          <w:p w:rsidR="009969E8" w:rsidRPr="009969E8" w:rsidRDefault="009969E8" w:rsidP="009969E8">
            <w:pPr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High level summary of data included in quality evaluation/analysis.</w:t>
            </w:r>
          </w:p>
        </w:tc>
      </w:tr>
      <w:tr w:rsidR="009969E8" w:rsidRPr="009969E8" w:rsidTr="00CA69A2">
        <w:tc>
          <w:tcPr>
            <w:tcW w:w="485" w:type="pct"/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100" w:afterAutospacing="1" w:line="36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83" w:type="pct"/>
            <w:vAlign w:val="center"/>
          </w:tcPr>
          <w:p w:rsidR="009969E8" w:rsidRPr="009969E8" w:rsidRDefault="009969E8" w:rsidP="009969E8">
            <w:pPr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1783" w:type="pct"/>
            <w:vAlign w:val="center"/>
          </w:tcPr>
          <w:p w:rsidR="009969E8" w:rsidRPr="009969E8" w:rsidRDefault="009969E8" w:rsidP="009969E8">
            <w:pPr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Pre-clinical data</w:t>
            </w:r>
          </w:p>
        </w:tc>
        <w:tc>
          <w:tcPr>
            <w:tcW w:w="1649" w:type="pct"/>
            <w:vAlign w:val="center"/>
          </w:tcPr>
          <w:p w:rsidR="009969E8" w:rsidRPr="009969E8" w:rsidRDefault="009969E8" w:rsidP="009969E8">
            <w:pPr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High level summary of data included in pre-clinical evaluation.</w:t>
            </w:r>
          </w:p>
        </w:tc>
      </w:tr>
      <w:tr w:rsidR="009969E8" w:rsidRPr="009969E8" w:rsidTr="00CA69A2">
        <w:tc>
          <w:tcPr>
            <w:tcW w:w="485" w:type="pct"/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100" w:afterAutospacing="1" w:line="36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83" w:type="pct"/>
            <w:vAlign w:val="center"/>
          </w:tcPr>
          <w:p w:rsidR="009969E8" w:rsidRPr="009969E8" w:rsidRDefault="009969E8" w:rsidP="009969E8">
            <w:pPr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1783" w:type="pct"/>
            <w:vAlign w:val="center"/>
          </w:tcPr>
          <w:p w:rsidR="009969E8" w:rsidRPr="009969E8" w:rsidRDefault="009969E8" w:rsidP="009969E8">
            <w:pPr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Clinical data(Pharmacokinetic, Pharmacokinetic data, safety and Efficacy data)</w:t>
            </w:r>
          </w:p>
        </w:tc>
        <w:tc>
          <w:tcPr>
            <w:tcW w:w="1649" w:type="pct"/>
            <w:vAlign w:val="center"/>
          </w:tcPr>
          <w:p w:rsidR="009969E8" w:rsidRPr="009969E8" w:rsidRDefault="009969E8" w:rsidP="009969E8">
            <w:pPr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Summary of included in clinical evaluation </w:t>
            </w:r>
          </w:p>
        </w:tc>
      </w:tr>
      <w:tr w:rsidR="009969E8" w:rsidRPr="009969E8" w:rsidTr="00CA69A2">
        <w:tc>
          <w:tcPr>
            <w:tcW w:w="485" w:type="pct"/>
            <w:vAlign w:val="center"/>
          </w:tcPr>
          <w:p w:rsidR="009969E8" w:rsidRPr="009969E8" w:rsidRDefault="009969E8" w:rsidP="009969E8">
            <w:pPr>
              <w:numPr>
                <w:ilvl w:val="1"/>
                <w:numId w:val="16"/>
              </w:numPr>
              <w:spacing w:before="100" w:beforeAutospacing="1" w:after="100" w:afterAutospacing="1" w:line="360" w:lineRule="auto"/>
              <w:ind w:right="27"/>
              <w:contextualSpacing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83" w:type="pct"/>
            <w:vAlign w:val="center"/>
          </w:tcPr>
          <w:p w:rsidR="009969E8" w:rsidRPr="009969E8" w:rsidRDefault="009969E8" w:rsidP="009969E8">
            <w:pPr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NDA</w:t>
            </w:r>
          </w:p>
        </w:tc>
        <w:tc>
          <w:tcPr>
            <w:tcW w:w="1783" w:type="pct"/>
            <w:vAlign w:val="center"/>
          </w:tcPr>
          <w:p w:rsidR="009969E8" w:rsidRPr="009969E8" w:rsidRDefault="009969E8" w:rsidP="009969E8">
            <w:pPr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Authorised indications for </w:t>
            </w:r>
            <w:proofErr w:type="spellStart"/>
            <w:r w:rsidRPr="009969E8">
              <w:rPr>
                <w:rFonts w:eastAsia="Calibri" w:cs="Arial"/>
                <w:b/>
                <w:sz w:val="24"/>
                <w:szCs w:val="24"/>
              </w:rPr>
              <w:t>Biotherapeutic</w:t>
            </w:r>
            <w:proofErr w:type="spellEnd"/>
            <w:r w:rsidRPr="009969E8">
              <w:rPr>
                <w:rFonts w:eastAsia="Calibri" w:cs="Arial"/>
                <w:b/>
                <w:sz w:val="24"/>
                <w:szCs w:val="24"/>
              </w:rPr>
              <w:t xml:space="preserve"> Product</w:t>
            </w: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s</w:t>
            </w:r>
          </w:p>
        </w:tc>
        <w:tc>
          <w:tcPr>
            <w:tcW w:w="1649" w:type="pct"/>
            <w:vAlign w:val="center"/>
          </w:tcPr>
          <w:p w:rsidR="009969E8" w:rsidRPr="009969E8" w:rsidRDefault="009969E8" w:rsidP="009969E8">
            <w:pPr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Indications approved following review – in full or if available in English on NDA website: provide summary and link. </w:t>
            </w:r>
          </w:p>
        </w:tc>
      </w:tr>
    </w:tbl>
    <w:p w:rsidR="009969E8" w:rsidRPr="009969E8" w:rsidRDefault="009969E8" w:rsidP="009969E8">
      <w:pPr>
        <w:spacing w:after="0" w:line="240" w:lineRule="auto"/>
        <w:ind w:right="27"/>
        <w:rPr>
          <w:rFonts w:eastAsia="Calibri" w:cs="Arial"/>
          <w:b/>
          <w:sz w:val="24"/>
          <w:szCs w:val="24"/>
          <w:lang w:val="en-GB"/>
        </w:rPr>
      </w:pPr>
    </w:p>
    <w:p w:rsidR="009969E8" w:rsidRPr="009969E8" w:rsidRDefault="009969E8" w:rsidP="009969E8">
      <w:pPr>
        <w:spacing w:after="200" w:line="276" w:lineRule="auto"/>
        <w:rPr>
          <w:rFonts w:eastAsia="Calibri" w:cs="Arial"/>
          <w:b/>
          <w:sz w:val="24"/>
          <w:szCs w:val="24"/>
          <w:lang w:val="en-GB"/>
        </w:rPr>
      </w:pPr>
      <w:r w:rsidRPr="009969E8">
        <w:rPr>
          <w:rFonts w:eastAsia="Calibri" w:cs="Arial"/>
          <w:b/>
          <w:sz w:val="24"/>
          <w:szCs w:val="24"/>
          <w:lang w:val="en-GB"/>
        </w:rPr>
        <w:br w:type="page"/>
      </w:r>
    </w:p>
    <w:p w:rsidR="009969E8" w:rsidRPr="009969E8" w:rsidRDefault="009969E8" w:rsidP="009969E8">
      <w:pPr>
        <w:spacing w:after="0" w:line="240" w:lineRule="auto"/>
        <w:ind w:right="27"/>
        <w:rPr>
          <w:rFonts w:eastAsia="Calibri" w:cs="Arial"/>
          <w:b/>
          <w:sz w:val="24"/>
          <w:szCs w:val="24"/>
          <w:lang w:val="en-GB"/>
        </w:rPr>
      </w:pPr>
    </w:p>
    <w:p w:rsidR="009969E8" w:rsidRPr="009969E8" w:rsidRDefault="009969E8" w:rsidP="009969E8">
      <w:pPr>
        <w:spacing w:after="0" w:line="240" w:lineRule="auto"/>
        <w:ind w:right="27"/>
        <w:rPr>
          <w:rFonts w:eastAsia="Calibri" w:cs="Arial"/>
          <w:b/>
          <w:sz w:val="24"/>
          <w:szCs w:val="24"/>
          <w:lang w:val="en-GB"/>
        </w:rPr>
      </w:pPr>
      <w:r w:rsidRPr="009969E8">
        <w:rPr>
          <w:rFonts w:eastAsia="Calibri" w:cs="Arial"/>
          <w:b/>
          <w:sz w:val="24"/>
          <w:szCs w:val="24"/>
          <w:lang w:val="en-GB"/>
        </w:rPr>
        <w:t>PART B - SUBMITTED DATA AND REVIEWER SUMMARY</w:t>
      </w:r>
    </w:p>
    <w:p w:rsidR="009969E8" w:rsidRPr="009969E8" w:rsidRDefault="009969E8" w:rsidP="009969E8">
      <w:pPr>
        <w:spacing w:after="0" w:line="240" w:lineRule="auto"/>
        <w:ind w:right="27"/>
        <w:rPr>
          <w:rFonts w:eastAsia="Calibri" w:cs="Arial"/>
          <w:sz w:val="24"/>
          <w:szCs w:val="24"/>
          <w:lang w:val="en-GB"/>
        </w:rPr>
      </w:pPr>
    </w:p>
    <w:tbl>
      <w:tblPr>
        <w:tblpPr w:leftFromText="180" w:rightFromText="180" w:vertAnchor="text" w:tblpX="198" w:tblpY="1"/>
        <w:tblOverlap w:val="never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063"/>
        <w:gridCol w:w="2974"/>
        <w:gridCol w:w="3794"/>
      </w:tblGrid>
      <w:tr w:rsidR="009969E8" w:rsidRPr="009969E8" w:rsidTr="00CA69A2">
        <w:trPr>
          <w:tblHeader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Sr. No.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To be completed by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Data required 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left="-18"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3.1.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Quality data. Composition of the </w:t>
            </w:r>
            <w:proofErr w:type="spellStart"/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Biotherapeutic</w:t>
            </w:r>
            <w:proofErr w:type="spellEnd"/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 product(s) </w:t>
            </w:r>
          </w:p>
        </w:tc>
      </w:tr>
      <w:tr w:rsidR="009969E8" w:rsidRPr="009969E8" w:rsidTr="00CA69A2">
        <w:trPr>
          <w:trHeight w:val="755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Provide name of active substance and strength.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Provide names (qualitative) of excipients used in formulation.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3.2.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Quality data. State-of-the-art methods</w:t>
            </w:r>
          </w:p>
        </w:tc>
      </w:tr>
      <w:tr w:rsidR="009969E8" w:rsidRPr="009969E8" w:rsidTr="00CA69A2">
        <w:trPr>
          <w:trHeight w:val="692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Include high level summary of physicochemical test methods and biological activity studies used for characterisation.</w:t>
            </w:r>
          </w:p>
        </w:tc>
      </w:tr>
      <w:tr w:rsidR="009969E8" w:rsidRPr="009969E8" w:rsidTr="00CA69A2">
        <w:trPr>
          <w:trHeight w:val="395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3.3.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NDA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Quality data assessment outcome</w:t>
            </w:r>
          </w:p>
        </w:tc>
      </w:tr>
      <w:tr w:rsidR="009969E8" w:rsidRPr="009969E8" w:rsidTr="00CA69A2">
        <w:trPr>
          <w:trHeight w:val="1295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Provide high level summary review of quality data.  Specify any implications to the quality, efficacy and safety of the product.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3.4.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Mechanism of action</w:t>
            </w:r>
          </w:p>
        </w:tc>
      </w:tr>
      <w:tr w:rsidR="009969E8" w:rsidRPr="009969E8" w:rsidTr="00CA69A2">
        <w:trPr>
          <w:trHeight w:val="692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Describe mechanism of action relevant to indications applied for.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3.5.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Non-clinical data. </w:t>
            </w:r>
            <w:r w:rsidRPr="009969E8">
              <w:rPr>
                <w:rFonts w:eastAsia="Calibri" w:cs="Arial"/>
                <w:b/>
                <w:i/>
                <w:sz w:val="24"/>
                <w:szCs w:val="24"/>
                <w:lang w:val="en-GB"/>
              </w:rPr>
              <w:t>In vitro</w:t>
            </w: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9969E8" w:rsidRPr="009969E8" w:rsidTr="00CA69A2">
        <w:trPr>
          <w:trHeight w:val="512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Specify dose used and length of the study.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3.6.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Non-clinical data. </w:t>
            </w:r>
            <w:r w:rsidRPr="009969E8">
              <w:rPr>
                <w:rFonts w:eastAsia="Calibri" w:cs="Arial"/>
                <w:b/>
                <w:i/>
                <w:sz w:val="24"/>
                <w:szCs w:val="24"/>
                <w:lang w:val="en-GB"/>
              </w:rPr>
              <w:t>In vivo</w:t>
            </w: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9969E8" w:rsidRPr="009969E8" w:rsidTr="00CA69A2">
        <w:trPr>
          <w:trHeight w:val="602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Specify animal model(s), e.g. dose used and length of the study.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3.7.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NDA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Non-clinical data assessment outcome </w:t>
            </w:r>
          </w:p>
        </w:tc>
      </w:tr>
      <w:tr w:rsidR="009969E8" w:rsidRPr="009969E8" w:rsidTr="00CA69A2">
        <w:trPr>
          <w:trHeight w:val="962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Provide high level summary review of non-clinical data and outcome including the implications to efficacy and safety of the product.</w:t>
            </w:r>
          </w:p>
        </w:tc>
      </w:tr>
      <w:tr w:rsidR="009969E8" w:rsidRPr="009969E8" w:rsidTr="00CA69A2">
        <w:trPr>
          <w:trHeight w:val="3277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lastRenderedPageBreak/>
              <w:t>3.8.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highlight w:val="yellow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NDA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CLINICAL STUDIES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 - </w:t>
            </w: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include relevant study data from the following (not all may be required) which have been included to demonstrate </w:t>
            </w: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biosimilarity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.</w:t>
            </w:r>
          </w:p>
          <w:p w:rsidR="009969E8" w:rsidRPr="009969E8" w:rsidRDefault="009969E8" w:rsidP="009969E8">
            <w:pPr>
              <w:numPr>
                <w:ilvl w:val="0"/>
                <w:numId w:val="15"/>
              </w:numPr>
              <w:spacing w:before="100" w:beforeAutospacing="1" w:after="120" w:afterAutospacing="1" w:line="240" w:lineRule="auto"/>
              <w:ind w:right="29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Pharmacokinetic, PK</w:t>
            </w:r>
          </w:p>
          <w:p w:rsidR="009969E8" w:rsidRPr="009969E8" w:rsidRDefault="009969E8" w:rsidP="009969E8">
            <w:pPr>
              <w:numPr>
                <w:ilvl w:val="0"/>
                <w:numId w:val="15"/>
              </w:numPr>
              <w:spacing w:before="100" w:beforeAutospacing="1" w:after="120" w:afterAutospacing="1" w:line="240" w:lineRule="auto"/>
              <w:ind w:right="29"/>
              <w:rPr>
                <w:rFonts w:eastAsia="Calibri" w:cs="Arial"/>
                <w:sz w:val="24"/>
                <w:szCs w:val="24"/>
                <w:lang w:val="en-GB"/>
              </w:rPr>
            </w:pP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Pharmacodynamic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, PD</w:t>
            </w:r>
          </w:p>
          <w:p w:rsidR="009969E8" w:rsidRPr="009969E8" w:rsidRDefault="009969E8" w:rsidP="009969E8">
            <w:pPr>
              <w:numPr>
                <w:ilvl w:val="0"/>
                <w:numId w:val="15"/>
              </w:numPr>
              <w:spacing w:before="100" w:beforeAutospacing="1" w:after="120" w:afterAutospacing="1" w:line="240" w:lineRule="auto"/>
              <w:ind w:right="29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Efficacy</w:t>
            </w:r>
          </w:p>
          <w:p w:rsidR="009969E8" w:rsidRPr="009969E8" w:rsidRDefault="009969E8" w:rsidP="009969E8">
            <w:pPr>
              <w:numPr>
                <w:ilvl w:val="0"/>
                <w:numId w:val="15"/>
              </w:numPr>
              <w:spacing w:before="100" w:beforeAutospacing="1" w:after="120" w:afterAutospacing="1" w:line="240" w:lineRule="auto"/>
              <w:ind w:right="29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Safety</w:t>
            </w:r>
          </w:p>
          <w:p w:rsidR="009969E8" w:rsidRPr="009969E8" w:rsidRDefault="009969E8" w:rsidP="009969E8">
            <w:pPr>
              <w:numPr>
                <w:ilvl w:val="0"/>
                <w:numId w:val="15"/>
              </w:numPr>
              <w:spacing w:before="100" w:beforeAutospacing="1" w:after="120" w:afterAutospacing="1" w:line="240" w:lineRule="auto"/>
              <w:ind w:right="29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Immunogenicity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3.9.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Clinical data. PK studies </w:t>
            </w:r>
          </w:p>
        </w:tc>
      </w:tr>
      <w:tr w:rsidR="009969E8" w:rsidRPr="009969E8" w:rsidTr="00CA69A2">
        <w:trPr>
          <w:trHeight w:val="755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Specify study number(s) and summary of design, population, objective and endpoint, dose used and length of the study.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3.10.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NDA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Clinical data. PK data assessment outcome</w:t>
            </w:r>
          </w:p>
        </w:tc>
      </w:tr>
      <w:tr w:rsidR="009969E8" w:rsidRPr="009969E8" w:rsidTr="00CA69A2">
        <w:trPr>
          <w:trHeight w:val="962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Provide high level summary review of PK data and outcome including how it relates to efficacy or safety of the product.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3.11.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Clinical data. PD studies </w:t>
            </w:r>
          </w:p>
        </w:tc>
      </w:tr>
      <w:tr w:rsidR="009969E8" w:rsidRPr="009969E8" w:rsidTr="00CA69A2">
        <w:trPr>
          <w:trHeight w:val="872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Specify study number(s) and summary of design, population, objective and endpoint, dose used and length of the study.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3.12.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NDA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Clinical data. PD data assessment outcome</w:t>
            </w:r>
          </w:p>
        </w:tc>
      </w:tr>
      <w:tr w:rsidR="009969E8" w:rsidRPr="009969E8" w:rsidTr="00CA69A2">
        <w:trPr>
          <w:trHeight w:val="883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Provide high level summary review of PD data and outcome including implications to the efficacy and safety of the product.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3.13.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Clinical data. Efficacy studies </w:t>
            </w:r>
          </w:p>
        </w:tc>
      </w:tr>
      <w:tr w:rsidR="009969E8" w:rsidRPr="009969E8" w:rsidTr="00CA69A2">
        <w:trPr>
          <w:trHeight w:val="973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Specify study number(s) and summary of design, population, objective and endpoint (e.g. equivalence margins), dose used and length of the study.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3.14.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NDA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Clinical data. Efficacy data assessment outcome </w:t>
            </w:r>
          </w:p>
        </w:tc>
      </w:tr>
      <w:tr w:rsidR="009969E8" w:rsidRPr="009969E8" w:rsidTr="00CA69A2">
        <w:trPr>
          <w:trHeight w:val="1052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Provide high level summary review of clinical efficacy data and outcome (No differences expected, however, justification may be appropriate).</w:t>
            </w:r>
          </w:p>
        </w:tc>
      </w:tr>
      <w:tr w:rsidR="009969E8" w:rsidRPr="009969E8" w:rsidTr="00CA69A2">
        <w:trPr>
          <w:trHeight w:val="1070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3.15.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u w:val="single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Clinical data. Safety/ Immunogenicity studies </w:t>
            </w: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(specify population, dose used, length of the study and comparability margins)</w:t>
            </w:r>
          </w:p>
        </w:tc>
      </w:tr>
      <w:tr w:rsidR="009969E8" w:rsidRPr="009969E8" w:rsidTr="00CA69A2">
        <w:trPr>
          <w:trHeight w:val="773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Specify study number(s) and summary of design, population, objective and endpoint, dose used and length of the study (</w:t>
            </w: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ies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).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lastRenderedPageBreak/>
              <w:t>3.16.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NDA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Clinical data. Safety/ Immunogenicity data assessment outcome</w:t>
            </w:r>
          </w:p>
        </w:tc>
      </w:tr>
      <w:tr w:rsidR="009969E8" w:rsidRPr="009969E8" w:rsidTr="00CA69A2">
        <w:trPr>
          <w:trHeight w:val="2573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Provide high level summary review of clinical safety and immunogenicity data and outcome.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u w:val="single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u w:val="single"/>
                <w:lang w:val="en-GB"/>
              </w:rPr>
              <w:t>Safety</w:t>
            </w: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. ADRs do not pause any potential risk to the patient or the risks are low.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u w:val="single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u w:val="single"/>
                <w:lang w:val="en-GB"/>
              </w:rPr>
              <w:t>Immunogenicity</w:t>
            </w: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. Antibody formation in </w:t>
            </w: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Biotherapeutic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 product does not pause any potential risk to the patient or the risks are low.</w:t>
            </w:r>
          </w:p>
        </w:tc>
      </w:tr>
      <w:tr w:rsidR="009969E8" w:rsidRPr="009969E8" w:rsidTr="00CA69A2">
        <w:trPr>
          <w:trHeight w:val="134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3.17.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15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Additional information about the quality, safety and efficacy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As appropriate, if not previously included.</w:t>
            </w:r>
          </w:p>
        </w:tc>
      </w:tr>
      <w:tr w:rsidR="009969E8" w:rsidRPr="009969E8" w:rsidTr="00CA69A2">
        <w:trPr>
          <w:trHeight w:val="350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3.18.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Post-authorization measures </w:t>
            </w:r>
          </w:p>
        </w:tc>
      </w:tr>
      <w:tr w:rsidR="009969E8" w:rsidRPr="009969E8" w:rsidTr="00CA69A2">
        <w:trPr>
          <w:trHeight w:val="980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Is a risk management plan available? Which Q/ S/ E studies are included?</w:t>
            </w:r>
          </w:p>
        </w:tc>
      </w:tr>
      <w:tr w:rsidR="009969E8" w:rsidRPr="009969E8" w:rsidTr="00CA69A2"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3.19.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NDA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Post-authorization measures assessment outcome.</w:t>
            </w:r>
          </w:p>
        </w:tc>
      </w:tr>
      <w:tr w:rsidR="009969E8" w:rsidRPr="009969E8" w:rsidTr="00CA69A2">
        <w:trPr>
          <w:trHeight w:val="1322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&lt; The risk management plan (or equivalent) was considered to be acceptable. &gt;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&lt; No additional risk management activities are foreseen post-approval.&gt;</w:t>
            </w:r>
          </w:p>
        </w:tc>
      </w:tr>
      <w:tr w:rsidR="009969E8" w:rsidRPr="009969E8" w:rsidTr="00CA69A2">
        <w:trPr>
          <w:trHeight w:val="445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3.20.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Applicant</w:t>
            </w:r>
          </w:p>
        </w:tc>
        <w:tc>
          <w:tcPr>
            <w:tcW w:w="351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Availability of additional relevant information in the local language/ link</w:t>
            </w:r>
          </w:p>
        </w:tc>
      </w:tr>
      <w:tr w:rsidR="009969E8" w:rsidRPr="009969E8" w:rsidTr="00CA69A2">
        <w:trPr>
          <w:trHeight w:val="445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jc w:val="center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As required /appropriate</w:t>
            </w:r>
          </w:p>
        </w:tc>
      </w:tr>
    </w:tbl>
    <w:p w:rsidR="009969E8" w:rsidRPr="009969E8" w:rsidRDefault="009969E8" w:rsidP="009969E8">
      <w:pPr>
        <w:spacing w:after="0" w:line="240" w:lineRule="auto"/>
        <w:ind w:right="27"/>
        <w:jc w:val="both"/>
        <w:rPr>
          <w:rFonts w:eastAsia="Calibri" w:cs="Arial"/>
          <w:b/>
          <w:sz w:val="24"/>
          <w:szCs w:val="24"/>
          <w:lang w:val="en-GB"/>
        </w:rPr>
      </w:pPr>
      <w:r>
        <w:rPr>
          <w:rFonts w:eastAsia="Calibri" w:cs="Arial"/>
          <w:b/>
          <w:sz w:val="24"/>
          <w:szCs w:val="24"/>
          <w:lang w:val="en-GB"/>
        </w:rPr>
        <w:br w:type="textWrapping" w:clear="all"/>
      </w:r>
    </w:p>
    <w:p w:rsidR="009969E8" w:rsidRDefault="009969E8" w:rsidP="009969E8">
      <w:pPr>
        <w:spacing w:after="200" w:line="276" w:lineRule="auto"/>
        <w:rPr>
          <w:rFonts w:eastAsia="Calibri" w:cs="Arial"/>
          <w:b/>
          <w:sz w:val="24"/>
          <w:szCs w:val="24"/>
          <w:lang w:val="en-GB"/>
        </w:rPr>
      </w:pPr>
    </w:p>
    <w:p w:rsidR="009969E8" w:rsidRDefault="009969E8" w:rsidP="009969E8">
      <w:pPr>
        <w:spacing w:after="200" w:line="276" w:lineRule="auto"/>
        <w:rPr>
          <w:rFonts w:eastAsia="Calibri" w:cs="Arial"/>
          <w:b/>
          <w:sz w:val="24"/>
          <w:szCs w:val="24"/>
          <w:lang w:val="en-GB"/>
        </w:rPr>
      </w:pPr>
    </w:p>
    <w:p w:rsidR="009969E8" w:rsidRDefault="009969E8" w:rsidP="009969E8">
      <w:pPr>
        <w:spacing w:after="200" w:line="276" w:lineRule="auto"/>
        <w:rPr>
          <w:rFonts w:eastAsia="Calibri" w:cs="Arial"/>
          <w:b/>
          <w:sz w:val="24"/>
          <w:szCs w:val="24"/>
          <w:lang w:val="en-GB"/>
        </w:rPr>
      </w:pPr>
    </w:p>
    <w:p w:rsidR="009969E8" w:rsidRPr="009969E8" w:rsidRDefault="009969E8" w:rsidP="009969E8">
      <w:pPr>
        <w:spacing w:after="200" w:line="276" w:lineRule="auto"/>
        <w:rPr>
          <w:rFonts w:eastAsia="Calibri" w:cs="Arial"/>
          <w:b/>
          <w:sz w:val="24"/>
          <w:szCs w:val="24"/>
          <w:lang w:val="en-GB"/>
        </w:rPr>
      </w:pPr>
    </w:p>
    <w:p w:rsidR="009969E8" w:rsidRDefault="009969E8" w:rsidP="009969E8">
      <w:pPr>
        <w:spacing w:after="0" w:line="240" w:lineRule="auto"/>
        <w:ind w:right="27"/>
        <w:jc w:val="both"/>
        <w:rPr>
          <w:rFonts w:eastAsia="Calibri" w:cs="Arial"/>
          <w:b/>
          <w:sz w:val="24"/>
          <w:szCs w:val="24"/>
          <w:lang w:val="en-GB"/>
        </w:rPr>
      </w:pPr>
    </w:p>
    <w:p w:rsidR="00CA69A2" w:rsidRDefault="00CA69A2" w:rsidP="009969E8">
      <w:pPr>
        <w:spacing w:after="0" w:line="240" w:lineRule="auto"/>
        <w:ind w:right="27"/>
        <w:jc w:val="both"/>
        <w:rPr>
          <w:rFonts w:eastAsia="Calibri" w:cs="Arial"/>
          <w:b/>
          <w:sz w:val="24"/>
          <w:szCs w:val="24"/>
          <w:lang w:val="en-GB"/>
        </w:rPr>
      </w:pPr>
    </w:p>
    <w:p w:rsidR="00CA69A2" w:rsidRDefault="00CA69A2" w:rsidP="009969E8">
      <w:pPr>
        <w:spacing w:after="0" w:line="240" w:lineRule="auto"/>
        <w:ind w:right="27"/>
        <w:jc w:val="both"/>
        <w:rPr>
          <w:rFonts w:eastAsia="Calibri" w:cs="Arial"/>
          <w:b/>
          <w:sz w:val="24"/>
          <w:szCs w:val="24"/>
          <w:lang w:val="en-GB"/>
        </w:rPr>
      </w:pPr>
    </w:p>
    <w:p w:rsidR="00CA69A2" w:rsidRPr="009969E8" w:rsidRDefault="00CA69A2" w:rsidP="009969E8">
      <w:pPr>
        <w:spacing w:after="0" w:line="240" w:lineRule="auto"/>
        <w:ind w:right="27"/>
        <w:jc w:val="both"/>
        <w:rPr>
          <w:rFonts w:eastAsia="Calibri" w:cs="Arial"/>
          <w:b/>
          <w:sz w:val="24"/>
          <w:szCs w:val="24"/>
          <w:lang w:val="en-GB"/>
        </w:rPr>
      </w:pPr>
      <w:bookmarkStart w:id="0" w:name="_GoBack"/>
      <w:bookmarkEnd w:id="0"/>
    </w:p>
    <w:p w:rsidR="009969E8" w:rsidRPr="009969E8" w:rsidRDefault="009969E8" w:rsidP="009969E8">
      <w:pPr>
        <w:spacing w:after="0" w:line="240" w:lineRule="auto"/>
        <w:ind w:right="27"/>
        <w:jc w:val="both"/>
        <w:rPr>
          <w:rFonts w:eastAsia="Calibri" w:cs="Arial"/>
          <w:b/>
          <w:sz w:val="24"/>
          <w:szCs w:val="24"/>
          <w:lang w:val="en-GB"/>
        </w:rPr>
      </w:pPr>
    </w:p>
    <w:p w:rsidR="009969E8" w:rsidRPr="009969E8" w:rsidRDefault="009969E8" w:rsidP="009969E8">
      <w:pPr>
        <w:spacing w:after="0" w:line="240" w:lineRule="auto"/>
        <w:ind w:left="180" w:right="27"/>
        <w:jc w:val="both"/>
        <w:rPr>
          <w:rFonts w:eastAsia="Calibri" w:cs="Arial"/>
          <w:sz w:val="24"/>
          <w:szCs w:val="24"/>
          <w:lang w:val="en-GB"/>
        </w:rPr>
      </w:pPr>
      <w:r w:rsidRPr="009969E8">
        <w:rPr>
          <w:rFonts w:eastAsia="Calibri" w:cs="Arial"/>
          <w:b/>
          <w:sz w:val="24"/>
          <w:szCs w:val="24"/>
          <w:lang w:val="en-GB"/>
        </w:rPr>
        <w:lastRenderedPageBreak/>
        <w:t>PART C - REVIEWER CONCLUSIONS</w:t>
      </w:r>
    </w:p>
    <w:tbl>
      <w:tblPr>
        <w:tblW w:w="4813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8"/>
      </w:tblGrid>
      <w:tr w:rsidR="009969E8" w:rsidRPr="009969E8" w:rsidTr="009E46ED">
        <w:trPr>
          <w:trHeight w:val="433"/>
        </w:trPr>
        <w:tc>
          <w:tcPr>
            <w:tcW w:w="5000" w:type="pct"/>
          </w:tcPr>
          <w:p w:rsidR="009969E8" w:rsidRPr="009969E8" w:rsidRDefault="009969E8" w:rsidP="009969E8">
            <w:pPr>
              <w:spacing w:after="0" w:line="240" w:lineRule="auto"/>
              <w:ind w:right="27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br w:type="page"/>
              <w:t>To be completed by NDA</w:t>
            </w:r>
          </w:p>
        </w:tc>
      </w:tr>
      <w:tr w:rsidR="009969E8" w:rsidRPr="009969E8" w:rsidTr="009E46ED">
        <w:trPr>
          <w:trHeight w:val="361"/>
        </w:trPr>
        <w:tc>
          <w:tcPr>
            <w:tcW w:w="5000" w:type="pct"/>
          </w:tcPr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 xml:space="preserve">Conclusions on Quality, </w:t>
            </w:r>
            <w:proofErr w:type="spellStart"/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Safefy</w:t>
            </w:r>
            <w:proofErr w:type="spellEnd"/>
            <w:r w:rsidRPr="009969E8">
              <w:rPr>
                <w:rFonts w:eastAsia="Calibri" w:cs="Arial"/>
                <w:b/>
                <w:sz w:val="24"/>
                <w:szCs w:val="24"/>
                <w:lang w:val="en-GB"/>
              </w:rPr>
              <w:t>, Efficacy and approval</w:t>
            </w:r>
          </w:p>
        </w:tc>
      </w:tr>
      <w:tr w:rsidR="009969E8" w:rsidRPr="009969E8" w:rsidTr="009E46ED">
        <w:tc>
          <w:tcPr>
            <w:tcW w:w="5000" w:type="pct"/>
          </w:tcPr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The reviewer should comment and conclude on the </w:t>
            </w:r>
            <w:proofErr w:type="gram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following:-</w:t>
            </w:r>
            <w:proofErr w:type="gramEnd"/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&lt;The data provided by the Applicant was in line with the local legislation and guidelines.&gt;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&lt;The data provided by the Applicant was in line with the local legislation, guidelines and international guidelines.&gt;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12"/>
                <w:szCs w:val="12"/>
                <w:u w:val="single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u w:val="single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u w:val="single"/>
                <w:lang w:val="en-GB"/>
              </w:rPr>
              <w:t xml:space="preserve">Quality 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All major physicochemical characteristics and biological activities of </w:t>
            </w: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Biotherapeutic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 product are acceptable.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u w:val="single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u w:val="single"/>
                <w:lang w:val="en-GB"/>
              </w:rPr>
              <w:t>Non-clinical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Ensure that the right animal models were used and there were no major safety issues that are likely to affect humans.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12"/>
                <w:szCs w:val="12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u w:val="single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u w:val="single"/>
                <w:lang w:val="en-GB"/>
              </w:rPr>
              <w:t>Clinical Studies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The PK / PD / efficacy studies to demonstrate efficacy in patient population provided robust evidence of therapeutic relevance.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12"/>
                <w:szCs w:val="12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12"/>
                <w:szCs w:val="12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Safety: The ADRs observed with </w:t>
            </w: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biotherapeutic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 are outweighed by the therapeutic benefit.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Immunogenicity: Antibody formation in </w:t>
            </w: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Biotherapeutic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 product does not pause any potential risk to the patient or the risks are low.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12"/>
                <w:szCs w:val="12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u w:val="single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u w:val="single"/>
                <w:lang w:val="en-GB"/>
              </w:rPr>
              <w:t>Risk Management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&lt; The risk management plan (or equivalent) was considered to be acceptable. &gt;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&lt; No additional risk management activities are foreseen post-approval.&gt;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u w:val="single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u w:val="single"/>
                <w:lang w:val="en-GB"/>
              </w:rPr>
              <w:t>Overall Conclusion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&lt;Satisfactory assurance of quality, safety, efficacy and relevance was demonstrated using appropriate methods&gt;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>&lt;Concerns raised during the review relating to &lt; summarise major issues &gt; were resolved during the procedure.&gt;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The </w:t>
            </w:r>
            <w:proofErr w:type="spellStart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>biotherapeutic</w:t>
            </w:r>
            <w:proofErr w:type="spellEnd"/>
            <w:r w:rsidRPr="009969E8">
              <w:rPr>
                <w:rFonts w:eastAsia="Calibri" w:cs="Arial"/>
                <w:sz w:val="24"/>
                <w:szCs w:val="24"/>
                <w:lang w:val="en-GB"/>
              </w:rPr>
              <w:t xml:space="preserve"> product &lt;trade name &gt; was considered approvable.</w:t>
            </w: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9969E8" w:rsidRPr="009969E8" w:rsidRDefault="009969E8" w:rsidP="009969E8">
            <w:pPr>
              <w:spacing w:after="0" w:line="240" w:lineRule="auto"/>
              <w:ind w:right="27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</w:tbl>
    <w:p w:rsidR="009969E8" w:rsidRPr="009969E8" w:rsidRDefault="009969E8" w:rsidP="009969E8">
      <w:pPr>
        <w:spacing w:after="200" w:line="276" w:lineRule="auto"/>
        <w:rPr>
          <w:rFonts w:eastAsia="Calibri" w:cs="Arial"/>
          <w:sz w:val="24"/>
          <w:szCs w:val="24"/>
          <w:lang w:val="en-GB"/>
        </w:rPr>
      </w:pPr>
    </w:p>
    <w:p w:rsidR="00D12257" w:rsidRPr="00060710" w:rsidRDefault="00D12257" w:rsidP="00257C15">
      <w:pPr>
        <w:ind w:left="630" w:hanging="630"/>
        <w:rPr>
          <w:rFonts w:cs="Arial"/>
        </w:rPr>
      </w:pPr>
    </w:p>
    <w:p w:rsidR="000B53C4" w:rsidRPr="00060710" w:rsidRDefault="000B53C4" w:rsidP="000B53C4">
      <w:pPr>
        <w:pStyle w:val="ListParagraph"/>
        <w:tabs>
          <w:tab w:val="left" w:pos="90"/>
        </w:tabs>
        <w:spacing w:after="120"/>
        <w:ind w:left="0"/>
        <w:contextualSpacing w:val="0"/>
        <w:jc w:val="both"/>
        <w:rPr>
          <w:rFonts w:cs="Arial"/>
          <w:b/>
          <w:sz w:val="24"/>
          <w:szCs w:val="24"/>
        </w:rPr>
      </w:pPr>
    </w:p>
    <w:p w:rsidR="00AB1340" w:rsidRPr="000E04B6" w:rsidRDefault="00AB1340" w:rsidP="000E04B6"/>
    <w:sectPr w:rsidR="00AB1340" w:rsidRPr="000E04B6" w:rsidSect="00426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152" w:bottom="432" w:left="144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87F" w:rsidRDefault="0018687F" w:rsidP="00426E52">
      <w:pPr>
        <w:spacing w:after="0" w:line="240" w:lineRule="auto"/>
      </w:pPr>
      <w:r>
        <w:separator/>
      </w:r>
    </w:p>
  </w:endnote>
  <w:endnote w:type="continuationSeparator" w:id="0">
    <w:p w:rsidR="0018687F" w:rsidRDefault="0018687F" w:rsidP="004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E8" w:rsidRDefault="00996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E8" w:rsidRDefault="00996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E8" w:rsidRDefault="00996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87F" w:rsidRDefault="0018687F" w:rsidP="00426E52">
      <w:pPr>
        <w:spacing w:after="0" w:line="240" w:lineRule="auto"/>
      </w:pPr>
      <w:r>
        <w:separator/>
      </w:r>
    </w:p>
  </w:footnote>
  <w:footnote w:type="continuationSeparator" w:id="0">
    <w:p w:rsidR="0018687F" w:rsidRDefault="0018687F" w:rsidP="004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E8" w:rsidRDefault="00996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5"/>
      <w:gridCol w:w="4815"/>
      <w:gridCol w:w="2878"/>
    </w:tblGrid>
    <w:tr w:rsidR="0033791C" w:rsidRPr="0033791C" w:rsidTr="0033791C">
      <w:trPr>
        <w:trHeight w:val="1069"/>
      </w:trPr>
      <w:tc>
        <w:tcPr>
          <w:tcW w:w="1009" w:type="pct"/>
          <w:shd w:val="clear" w:color="auto" w:fill="auto"/>
          <w:noWrap/>
          <w:vAlign w:val="bottom"/>
          <w:hideMark/>
        </w:tcPr>
        <w:p w:rsidR="0033791C" w:rsidRPr="0033791C" w:rsidRDefault="0033791C" w:rsidP="0033791C">
          <w:pPr>
            <w:spacing w:after="0" w:line="240" w:lineRule="auto"/>
            <w:jc w:val="right"/>
            <w:rPr>
              <w:rFonts w:eastAsia="Times New Roman" w:cs="Arial"/>
              <w:color w:val="000000"/>
              <w:sz w:val="20"/>
              <w:szCs w:val="20"/>
            </w:rPr>
          </w:pPr>
          <w:r w:rsidRPr="0033791C">
            <w:rPr>
              <w:rFonts w:eastAsia="Calibri" w:cs="Arial"/>
              <w:noProof/>
              <w:color w:val="000000"/>
              <w:sz w:val="28"/>
            </w:rPr>
            <w:drawing>
              <wp:inline distT="0" distB="0" distL="0" distR="0" wp14:anchorId="68B8AD94" wp14:editId="0FE7F164">
                <wp:extent cx="806450" cy="800100"/>
                <wp:effectExtent l="0" t="0" r="0" b="0"/>
                <wp:docPr id="2" name="Picture 2" descr="Description: 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8" w:type="pct"/>
          <w:shd w:val="clear" w:color="auto" w:fill="auto"/>
          <w:vAlign w:val="bottom"/>
        </w:tcPr>
        <w:p w:rsidR="0033791C" w:rsidRPr="0033791C" w:rsidRDefault="0033791C" w:rsidP="00337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 w:cs="Arial"/>
              <w:b/>
              <w:color w:val="000000"/>
              <w:sz w:val="24"/>
              <w:szCs w:val="24"/>
            </w:rPr>
          </w:pPr>
          <w:r w:rsidRPr="0033791C">
            <w:rPr>
              <w:rFonts w:eastAsia="Times New Roman" w:cs="Arial"/>
              <w:b/>
              <w:color w:val="000000"/>
              <w:sz w:val="24"/>
              <w:szCs w:val="24"/>
            </w:rPr>
            <w:t>National Drug Authority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 xml:space="preserve">Plot No. 19 </w:t>
          </w:r>
          <w:proofErr w:type="spellStart"/>
          <w:r w:rsidRPr="0033791C">
            <w:rPr>
              <w:rFonts w:eastAsia="Times New Roman" w:cs="Arial"/>
              <w:sz w:val="20"/>
              <w:szCs w:val="20"/>
            </w:rPr>
            <w:t>Rumee</w:t>
          </w:r>
          <w:proofErr w:type="spellEnd"/>
          <w:r w:rsidRPr="0033791C">
            <w:rPr>
              <w:rFonts w:eastAsia="Times New Roman" w:cs="Arial"/>
              <w:sz w:val="20"/>
              <w:szCs w:val="20"/>
            </w:rPr>
            <w:t xml:space="preserve"> Towers, Lumumba Avenue, 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>P.O. Box 23096,</w:t>
          </w:r>
          <w:r w:rsidRPr="0033791C">
            <w:rPr>
              <w:rFonts w:eastAsia="Times New Roman" w:cs="Arial"/>
              <w:bCs/>
              <w:sz w:val="20"/>
              <w:szCs w:val="20"/>
            </w:rPr>
            <w:t xml:space="preserve"> Kampala, Uganda.</w:t>
          </w:r>
          <w:r w:rsidRPr="0033791C">
            <w:rPr>
              <w:rFonts w:eastAsia="Times New Roman" w:cs="Arial"/>
              <w:b/>
              <w:bCs/>
              <w:sz w:val="20"/>
              <w:szCs w:val="20"/>
            </w:rPr>
            <w:t xml:space="preserve"> </w:t>
          </w:r>
        </w:p>
        <w:p w:rsidR="0033791C" w:rsidRPr="0033791C" w:rsidRDefault="0033791C" w:rsidP="00337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 xml:space="preserve">email: </w:t>
          </w:r>
          <w:hyperlink r:id="rId2" w:history="1">
            <w:r w:rsidRPr="0033791C">
              <w:rPr>
                <w:rFonts w:eastAsia="Times New Roman" w:cs="Arial"/>
                <w:color w:val="0000FF"/>
                <w:sz w:val="20"/>
                <w:szCs w:val="20"/>
                <w:u w:val="single"/>
              </w:rPr>
              <w:t>ndaug@nda.or.ug</w:t>
            </w:r>
          </w:hyperlink>
          <w:r w:rsidRPr="0033791C">
            <w:rPr>
              <w:rFonts w:eastAsia="Times New Roman" w:cs="Arial"/>
              <w:sz w:val="20"/>
              <w:szCs w:val="20"/>
            </w:rPr>
            <w:t xml:space="preserve">; website: </w:t>
          </w:r>
          <w:hyperlink r:id="rId3" w:history="1">
            <w:r w:rsidRPr="0033791C">
              <w:rPr>
                <w:rFonts w:eastAsia="Times New Roman" w:cs="Arial"/>
                <w:color w:val="0000FF"/>
                <w:sz w:val="20"/>
                <w:szCs w:val="20"/>
                <w:u w:val="single"/>
              </w:rPr>
              <w:t>www.nda.or.ug</w:t>
            </w:r>
          </w:hyperlink>
          <w:r w:rsidRPr="0033791C">
            <w:rPr>
              <w:rFonts w:eastAsia="Times New Roman" w:cs="Arial"/>
              <w:sz w:val="20"/>
              <w:szCs w:val="20"/>
            </w:rPr>
            <w:t xml:space="preserve">  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>Tel: +256-417788100</w:t>
          </w:r>
        </w:p>
      </w:tc>
      <w:tc>
        <w:tcPr>
          <w:tcW w:w="1493" w:type="pct"/>
          <w:shd w:val="clear" w:color="auto" w:fill="auto"/>
        </w:tcPr>
        <w:p w:rsidR="0033791C" w:rsidRPr="0033791C" w:rsidRDefault="009969E8" w:rsidP="0033791C">
          <w:pPr>
            <w:spacing w:after="0" w:line="240" w:lineRule="auto"/>
            <w:rPr>
              <w:rFonts w:eastAsia="Times New Roman" w:cs="Arial"/>
              <w:sz w:val="20"/>
              <w:szCs w:val="20"/>
              <w:highlight w:val="cyan"/>
            </w:rPr>
          </w:pPr>
          <w:r w:rsidRPr="00426E52">
            <w:rPr>
              <w:rFonts w:eastAsia="Calibri" w:cs="Arial"/>
              <w:b/>
              <w:sz w:val="24"/>
              <w:szCs w:val="24"/>
            </w:rPr>
            <w:object w:dxaOrig="1750" w:dyaOrig="5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pt;height:30pt">
                <v:imagedata r:id="rId4" o:title=""/>
              </v:shape>
              <o:OLEObject Type="Embed" ProgID="Visio.Drawing.11" ShapeID="_x0000_i1025" DrawAspect="Content" ObjectID="_1738412249" r:id="rId5"/>
            </w:object>
          </w:r>
        </w:p>
        <w:p w:rsidR="00257C15" w:rsidRDefault="00257C15" w:rsidP="00257C15">
          <w:pPr>
            <w:spacing w:after="0" w:line="240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  <w:p w:rsidR="0033791C" w:rsidRPr="0033791C" w:rsidRDefault="00257C15" w:rsidP="00257C15">
          <w:pPr>
            <w:spacing w:after="0" w:line="240" w:lineRule="auto"/>
            <w:jc w:val="center"/>
            <w:rPr>
              <w:rFonts w:eastAsia="Times New Roman" w:cs="Arial"/>
              <w:color w:val="000000"/>
              <w:highlight w:val="cyan"/>
            </w:rPr>
          </w:pPr>
          <w:r w:rsidRPr="00262315">
            <w:rPr>
              <w:rFonts w:eastAsia="Times New Roman" w:cs="Arial"/>
              <w:color w:val="000000"/>
            </w:rPr>
            <w:t xml:space="preserve">Page </w:t>
          </w:r>
          <w:r w:rsidRPr="00262315">
            <w:rPr>
              <w:rFonts w:eastAsia="Times New Roman" w:cs="Arial"/>
              <w:bCs/>
              <w:color w:val="000000"/>
            </w:rPr>
            <w:fldChar w:fldCharType="begin"/>
          </w:r>
          <w:r w:rsidRPr="00262315">
            <w:rPr>
              <w:rFonts w:eastAsia="Times New Roman" w:cs="Arial"/>
              <w:bCs/>
              <w:color w:val="000000"/>
            </w:rPr>
            <w:instrText xml:space="preserve"> PAGE  \* Arabic  \* MERGEFORMAT </w:instrText>
          </w:r>
          <w:r w:rsidRPr="00262315">
            <w:rPr>
              <w:rFonts w:eastAsia="Times New Roman" w:cs="Arial"/>
              <w:bCs/>
              <w:color w:val="000000"/>
            </w:rPr>
            <w:fldChar w:fldCharType="separate"/>
          </w:r>
          <w:r w:rsidR="00CA69A2">
            <w:rPr>
              <w:rFonts w:eastAsia="Times New Roman" w:cs="Arial"/>
              <w:bCs/>
              <w:noProof/>
              <w:color w:val="000000"/>
            </w:rPr>
            <w:t>6</w:t>
          </w:r>
          <w:r w:rsidRPr="00262315">
            <w:rPr>
              <w:rFonts w:eastAsia="Times New Roman" w:cs="Arial"/>
              <w:bCs/>
              <w:color w:val="000000"/>
            </w:rPr>
            <w:fldChar w:fldCharType="end"/>
          </w:r>
          <w:r w:rsidRPr="00262315">
            <w:rPr>
              <w:rFonts w:eastAsia="Times New Roman" w:cs="Arial"/>
              <w:color w:val="000000"/>
            </w:rPr>
            <w:t xml:space="preserve"> of </w:t>
          </w:r>
          <w:r w:rsidRPr="00262315">
            <w:rPr>
              <w:rFonts w:eastAsia="Times New Roman" w:cs="Arial"/>
              <w:bCs/>
              <w:color w:val="000000"/>
            </w:rPr>
            <w:fldChar w:fldCharType="begin"/>
          </w:r>
          <w:r w:rsidRPr="00262315">
            <w:rPr>
              <w:rFonts w:eastAsia="Times New Roman" w:cs="Arial"/>
              <w:bCs/>
              <w:color w:val="000000"/>
            </w:rPr>
            <w:instrText xml:space="preserve"> NUMPAGES  \* Arabic  \* MERGEFORMAT </w:instrText>
          </w:r>
          <w:r w:rsidRPr="00262315">
            <w:rPr>
              <w:rFonts w:eastAsia="Times New Roman" w:cs="Arial"/>
              <w:bCs/>
              <w:color w:val="000000"/>
            </w:rPr>
            <w:fldChar w:fldCharType="separate"/>
          </w:r>
          <w:r w:rsidR="00CA69A2">
            <w:rPr>
              <w:rFonts w:eastAsia="Times New Roman" w:cs="Arial"/>
              <w:bCs/>
              <w:noProof/>
              <w:color w:val="000000"/>
            </w:rPr>
            <w:t>6</w:t>
          </w:r>
          <w:r w:rsidRPr="00262315">
            <w:rPr>
              <w:rFonts w:eastAsia="Times New Roman" w:cs="Arial"/>
              <w:bCs/>
              <w:color w:val="000000"/>
            </w:rPr>
            <w:fldChar w:fldCharType="end"/>
          </w:r>
        </w:p>
      </w:tc>
    </w:tr>
    <w:tr w:rsidR="0033791C" w:rsidRPr="0033791C" w:rsidTr="0033791C">
      <w:trPr>
        <w:trHeight w:val="313"/>
      </w:trPr>
      <w:tc>
        <w:tcPr>
          <w:tcW w:w="5000" w:type="pct"/>
          <w:gridSpan w:val="3"/>
          <w:shd w:val="clear" w:color="auto" w:fill="auto"/>
          <w:noWrap/>
          <w:vAlign w:val="bottom"/>
          <w:hideMark/>
        </w:tcPr>
        <w:p w:rsidR="0033791C" w:rsidRPr="0033791C" w:rsidRDefault="009969E8" w:rsidP="0033791C">
          <w:pPr>
            <w:spacing w:before="80" w:after="0" w:line="240" w:lineRule="auto"/>
            <w:ind w:right="29"/>
            <w:jc w:val="center"/>
            <w:rPr>
              <w:rFonts w:eastAsia="Calibri" w:cs="Arial"/>
              <w:b/>
              <w:sz w:val="24"/>
              <w:szCs w:val="24"/>
              <w:lang w:val="en-GB"/>
            </w:rPr>
          </w:pPr>
          <w:r w:rsidRPr="009969E8">
            <w:rPr>
              <w:rFonts w:eastAsia="Calibri" w:cs="Arial"/>
              <w:b/>
              <w:sz w:val="24"/>
              <w:szCs w:val="24"/>
              <w:lang w:val="en-GB"/>
            </w:rPr>
            <w:t>SUMMARY INFORMATION FOR BIOTHERAPEUTIC PRODUCT</w:t>
          </w:r>
        </w:p>
      </w:tc>
    </w:tr>
  </w:tbl>
  <w:p w:rsidR="00AB1340" w:rsidRDefault="00AB13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9E8" w:rsidRDefault="009969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6DB"/>
    <w:multiLevelType w:val="hybridMultilevel"/>
    <w:tmpl w:val="76FAC69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0E754435"/>
    <w:multiLevelType w:val="hybridMultilevel"/>
    <w:tmpl w:val="44BEC0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E2E06"/>
    <w:multiLevelType w:val="hybridMultilevel"/>
    <w:tmpl w:val="9BB8874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1C4D6A7B"/>
    <w:multiLevelType w:val="hybridMultilevel"/>
    <w:tmpl w:val="76FAC69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20936DE8"/>
    <w:multiLevelType w:val="hybridMultilevel"/>
    <w:tmpl w:val="50F66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0F09"/>
    <w:multiLevelType w:val="multilevel"/>
    <w:tmpl w:val="E7F65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936E51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D2D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7C3D"/>
    <w:multiLevelType w:val="hybridMultilevel"/>
    <w:tmpl w:val="9FBEB490"/>
    <w:lvl w:ilvl="0" w:tplc="91BE96C0">
      <w:start w:val="1"/>
      <w:numFmt w:val="lowerLetter"/>
      <w:lvlText w:val="%1)"/>
      <w:lvlJc w:val="left"/>
      <w:pPr>
        <w:ind w:left="141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471B24C3"/>
    <w:multiLevelType w:val="hybridMultilevel"/>
    <w:tmpl w:val="44BEC0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EF674C"/>
    <w:multiLevelType w:val="hybridMultilevel"/>
    <w:tmpl w:val="354AE65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45562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EE1E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6174E08"/>
    <w:multiLevelType w:val="multilevel"/>
    <w:tmpl w:val="69FA1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847D70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24131"/>
    <w:multiLevelType w:val="hybridMultilevel"/>
    <w:tmpl w:val="620CD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14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2"/>
  </w:num>
  <w:num w:numId="14">
    <w:abstractNumId w:val="11"/>
  </w:num>
  <w:num w:numId="15">
    <w:abstractNumId w:val="15"/>
  </w:num>
  <w:num w:numId="1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52"/>
    <w:rsid w:val="000B4062"/>
    <w:rsid w:val="000B53C4"/>
    <w:rsid w:val="000B6542"/>
    <w:rsid w:val="000E04B6"/>
    <w:rsid w:val="000F2C35"/>
    <w:rsid w:val="0018687F"/>
    <w:rsid w:val="00257C15"/>
    <w:rsid w:val="00262315"/>
    <w:rsid w:val="002921E0"/>
    <w:rsid w:val="00334C6F"/>
    <w:rsid w:val="0033791C"/>
    <w:rsid w:val="003C0EA7"/>
    <w:rsid w:val="003E44BD"/>
    <w:rsid w:val="00426E52"/>
    <w:rsid w:val="005A14DD"/>
    <w:rsid w:val="006B1EBD"/>
    <w:rsid w:val="0073446B"/>
    <w:rsid w:val="0089100C"/>
    <w:rsid w:val="009969E8"/>
    <w:rsid w:val="009F16F2"/>
    <w:rsid w:val="00A170BF"/>
    <w:rsid w:val="00AB1340"/>
    <w:rsid w:val="00BE0962"/>
    <w:rsid w:val="00C83279"/>
    <w:rsid w:val="00CA69A2"/>
    <w:rsid w:val="00D12257"/>
    <w:rsid w:val="00D45929"/>
    <w:rsid w:val="00E763F3"/>
    <w:rsid w:val="00E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AEED5"/>
  <w15:chartTrackingRefBased/>
  <w15:docId w15:val="{304383ED-8696-4EDD-84DB-FF33B61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D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34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="Arial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340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="Arial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3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3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3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1340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1340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3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34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34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3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52"/>
  </w:style>
  <w:style w:type="paragraph" w:styleId="Footer">
    <w:name w:val="footer"/>
    <w:basedOn w:val="Normal"/>
    <w:link w:val="Foot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52"/>
  </w:style>
  <w:style w:type="table" w:styleId="TableProfessional">
    <w:name w:val="Table Professional"/>
    <w:basedOn w:val="TableNormal"/>
    <w:uiPriority w:val="99"/>
    <w:semiHidden/>
    <w:unhideWhenUsed/>
    <w:rsid w:val="003E4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5A14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13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34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34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B1340"/>
    <w:pPr>
      <w:widowControl w:val="0"/>
      <w:spacing w:after="0" w:line="240" w:lineRule="auto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AB134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B13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134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B134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B1340"/>
    <w:pPr>
      <w:spacing w:after="100"/>
      <w:ind w:left="660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AB1340"/>
    <w:pPr>
      <w:spacing w:after="100"/>
      <w:ind w:left="88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AB1340"/>
    <w:pPr>
      <w:spacing w:after="100"/>
      <w:ind w:left="110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AB1340"/>
    <w:pPr>
      <w:spacing w:after="100"/>
      <w:ind w:left="132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AB1340"/>
    <w:pPr>
      <w:spacing w:after="100"/>
      <w:ind w:left="154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AB1340"/>
    <w:pPr>
      <w:spacing w:after="100"/>
      <w:ind w:left="1760"/>
    </w:pPr>
    <w:rPr>
      <w:rFonts w:asciiTheme="minorHAnsi" w:eastAsiaTheme="minorEastAsia" w:hAnsiTheme="minorHAnsi"/>
    </w:rPr>
  </w:style>
  <w:style w:type="character" w:styleId="Hyperlink">
    <w:name w:val="Hyperlink"/>
    <w:basedOn w:val="DefaultParagraphFont"/>
    <w:uiPriority w:val="99"/>
    <w:unhideWhenUsed/>
    <w:rsid w:val="00AB13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ho.int/medicines/services/inn/BioRev2014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Namyalo</dc:creator>
  <cp:keywords/>
  <dc:description/>
  <cp:lastModifiedBy>Dora Namyalo</cp:lastModifiedBy>
  <cp:revision>3</cp:revision>
  <dcterms:created xsi:type="dcterms:W3CDTF">2023-02-20T12:24:00Z</dcterms:created>
  <dcterms:modified xsi:type="dcterms:W3CDTF">2023-02-20T12:27:00Z</dcterms:modified>
</cp:coreProperties>
</file>