
<file path=[Content_Types].xml><?xml version="1.0" encoding="utf-8"?>
<Types xmlns="http://schemas.openxmlformats.org/package/2006/content-types">
  <Default Extension="vsd" ContentType="application/vnd.visio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4DD" w:rsidRPr="005A14DD" w:rsidRDefault="005A14DD" w:rsidP="005A14DD">
      <w:pPr>
        <w:spacing w:line="240" w:lineRule="auto"/>
        <w:rPr>
          <w:rFonts w:cs="Arial"/>
          <w:sz w:val="24"/>
          <w:szCs w:val="24"/>
        </w:rPr>
      </w:pPr>
      <w:r w:rsidRPr="005A14DD">
        <w:rPr>
          <w:rFonts w:cs="Arial"/>
          <w:sz w:val="24"/>
          <w:szCs w:val="24"/>
        </w:rPr>
        <w:t>&lt;text&gt; signifies text to be selected or deleted as appropriate.</w:t>
      </w:r>
    </w:p>
    <w:p w:rsidR="005A14DD" w:rsidRPr="00060710" w:rsidRDefault="005A14DD" w:rsidP="005A14DD">
      <w:pPr>
        <w:spacing w:line="240" w:lineRule="auto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{text} refers to information to be added]</w:t>
      </w:r>
    </w:p>
    <w:p w:rsidR="005A14DD" w:rsidRPr="00060710" w:rsidRDefault="005A14DD" w:rsidP="005A14DD">
      <w:pPr>
        <w:pStyle w:val="ListParagraph"/>
        <w:numPr>
          <w:ilvl w:val="2"/>
          <w:numId w:val="3"/>
        </w:numPr>
        <w:spacing w:line="240" w:lineRule="auto"/>
        <w:ind w:left="450" w:hanging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NAME OF THE MEDICINAL PRODUCT</w:t>
      </w:r>
    </w:p>
    <w:p w:rsidR="005A14DD" w:rsidRPr="00060710" w:rsidRDefault="005A14DD" w:rsidP="005A14DD">
      <w:pPr>
        <w:spacing w:line="240" w:lineRule="auto"/>
        <w:ind w:left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{(Invented) name strength pharmaceutical form}</w:t>
      </w:r>
    </w:p>
    <w:p w:rsidR="005A14DD" w:rsidRPr="00060710" w:rsidRDefault="005A14DD" w:rsidP="005A14DD">
      <w:pPr>
        <w:pStyle w:val="ListParagraph"/>
        <w:numPr>
          <w:ilvl w:val="2"/>
          <w:numId w:val="3"/>
        </w:numPr>
        <w:spacing w:line="240" w:lineRule="auto"/>
        <w:ind w:left="450" w:hanging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QUALITATIVE AND QUANTITATIVE COMPOSITION</w:t>
      </w:r>
    </w:p>
    <w:p w:rsidR="005A14DD" w:rsidRPr="00060710" w:rsidRDefault="005A14DD" w:rsidP="005A14DD">
      <w:pPr>
        <w:spacing w:line="240" w:lineRule="auto"/>
        <w:ind w:left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&lt;Excipient(s):&gt;</w:t>
      </w:r>
    </w:p>
    <w:p w:rsidR="005A14DD" w:rsidRPr="00060710" w:rsidRDefault="005A14DD" w:rsidP="005A14DD">
      <w:pPr>
        <w:spacing w:line="240" w:lineRule="auto"/>
        <w:ind w:left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For a full list of excipients, see Section 6.1.</w:t>
      </w:r>
    </w:p>
    <w:p w:rsidR="005A14DD" w:rsidRPr="00060710" w:rsidRDefault="005A14DD" w:rsidP="005A14DD">
      <w:pPr>
        <w:pStyle w:val="ListParagraph"/>
        <w:numPr>
          <w:ilvl w:val="2"/>
          <w:numId w:val="3"/>
        </w:numPr>
        <w:spacing w:line="240" w:lineRule="auto"/>
        <w:ind w:left="450" w:hanging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PHARMACEUTICAL FORM</w:t>
      </w:r>
    </w:p>
    <w:p w:rsidR="005A14DD" w:rsidRPr="00060710" w:rsidRDefault="005A14DD" w:rsidP="005A14DD">
      <w:pPr>
        <w:spacing w:line="240" w:lineRule="auto"/>
        <w:ind w:left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 xml:space="preserve">&lt;The </w:t>
      </w:r>
      <w:proofErr w:type="spellStart"/>
      <w:r w:rsidRPr="00060710">
        <w:rPr>
          <w:rFonts w:cs="Arial"/>
          <w:sz w:val="24"/>
          <w:szCs w:val="24"/>
        </w:rPr>
        <w:t>scoreline</w:t>
      </w:r>
      <w:proofErr w:type="spellEnd"/>
      <w:r w:rsidRPr="00060710">
        <w:rPr>
          <w:rFonts w:cs="Arial"/>
          <w:sz w:val="24"/>
          <w:szCs w:val="24"/>
        </w:rPr>
        <w:t xml:space="preserve"> is only to facilitate breaking for ease of swallowing and not to divide into equal doses.&gt;</w:t>
      </w:r>
    </w:p>
    <w:p w:rsidR="005A14DD" w:rsidRPr="00060710" w:rsidRDefault="005A14DD" w:rsidP="005A14DD">
      <w:pPr>
        <w:spacing w:line="240" w:lineRule="auto"/>
        <w:ind w:left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&lt;The tablet can be divided into equal halves&gt;</w:t>
      </w:r>
    </w:p>
    <w:p w:rsidR="005A14DD" w:rsidRPr="00060710" w:rsidRDefault="005A14DD" w:rsidP="005A14DD">
      <w:pPr>
        <w:spacing w:line="240" w:lineRule="auto"/>
        <w:ind w:left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&lt;The tablet should not be divided&gt;</w:t>
      </w:r>
    </w:p>
    <w:p w:rsidR="005A14DD" w:rsidRPr="00060710" w:rsidRDefault="005A14DD" w:rsidP="005A14DD">
      <w:pPr>
        <w:pStyle w:val="ListParagraph"/>
        <w:numPr>
          <w:ilvl w:val="2"/>
          <w:numId w:val="3"/>
        </w:numPr>
        <w:spacing w:after="120" w:line="240" w:lineRule="auto"/>
        <w:ind w:left="446" w:hanging="446"/>
        <w:contextualSpacing w:val="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CLINICAL PARTICULARS</w:t>
      </w:r>
    </w:p>
    <w:p w:rsidR="005A14DD" w:rsidRPr="00060710" w:rsidRDefault="005A14DD" w:rsidP="005A14DD">
      <w:pPr>
        <w:pStyle w:val="ListParagraph"/>
        <w:numPr>
          <w:ilvl w:val="1"/>
          <w:numId w:val="4"/>
        </w:numPr>
        <w:spacing w:line="240" w:lineRule="auto"/>
        <w:ind w:left="450" w:hanging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Therapeutic indications</w:t>
      </w:r>
    </w:p>
    <w:p w:rsidR="005A14DD" w:rsidRPr="00060710" w:rsidRDefault="005A14DD" w:rsidP="005A14DD">
      <w:pPr>
        <w:spacing w:line="240" w:lineRule="auto"/>
        <w:ind w:left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 xml:space="preserve">&lt;{X} is indicated in &lt;adults&gt; &lt;neonates&gt; &lt;infants&gt; &lt;children&gt; &lt;adolescents&gt; &lt;aged {x </w:t>
      </w:r>
      <w:proofErr w:type="spellStart"/>
      <w:r w:rsidRPr="00060710">
        <w:rPr>
          <w:rFonts w:cs="Arial"/>
          <w:sz w:val="24"/>
          <w:szCs w:val="24"/>
        </w:rPr>
        <w:t>to y</w:t>
      </w:r>
      <w:proofErr w:type="spellEnd"/>
      <w:r w:rsidRPr="00060710">
        <w:rPr>
          <w:rFonts w:cs="Arial"/>
          <w:sz w:val="24"/>
          <w:szCs w:val="24"/>
        </w:rPr>
        <w:t>}&gt; &lt;years&gt; &lt;months&gt;</w:t>
      </w:r>
    </w:p>
    <w:p w:rsidR="005A14DD" w:rsidRPr="00060710" w:rsidRDefault="005A14DD" w:rsidP="005A14DD">
      <w:pPr>
        <w:pStyle w:val="ListParagraph"/>
        <w:numPr>
          <w:ilvl w:val="1"/>
          <w:numId w:val="4"/>
        </w:numPr>
        <w:spacing w:line="240" w:lineRule="auto"/>
        <w:ind w:left="450" w:hanging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Posology and method of administration</w:t>
      </w:r>
    </w:p>
    <w:p w:rsidR="005A14DD" w:rsidRPr="00060710" w:rsidRDefault="005A14DD" w:rsidP="005A14DD">
      <w:pPr>
        <w:spacing w:line="240" w:lineRule="auto"/>
        <w:ind w:left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Posology</w:t>
      </w:r>
    </w:p>
    <w:p w:rsidR="005A14DD" w:rsidRPr="00060710" w:rsidRDefault="005A14DD" w:rsidP="005A14DD">
      <w:pPr>
        <w:spacing w:line="240" w:lineRule="auto"/>
        <w:ind w:left="450"/>
        <w:rPr>
          <w:rFonts w:cs="Arial"/>
          <w:sz w:val="24"/>
          <w:szCs w:val="24"/>
        </w:rPr>
      </w:pPr>
      <w:proofErr w:type="spellStart"/>
      <w:r w:rsidRPr="00060710">
        <w:rPr>
          <w:rFonts w:cs="Arial"/>
          <w:sz w:val="24"/>
          <w:szCs w:val="24"/>
        </w:rPr>
        <w:t>Paediatric</w:t>
      </w:r>
      <w:proofErr w:type="spellEnd"/>
      <w:r w:rsidRPr="00060710">
        <w:rPr>
          <w:rFonts w:cs="Arial"/>
          <w:sz w:val="24"/>
          <w:szCs w:val="24"/>
        </w:rPr>
        <w:t xml:space="preserve"> population</w:t>
      </w:r>
    </w:p>
    <w:p w:rsidR="005A14DD" w:rsidRPr="00060710" w:rsidRDefault="005A14DD" w:rsidP="005A14DD">
      <w:pPr>
        <w:spacing w:line="240" w:lineRule="auto"/>
        <w:ind w:left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 xml:space="preserve">&lt;The &lt;safety&gt; &lt;and&gt; &lt;efficacy&gt; of {X} in children aged {x </w:t>
      </w:r>
      <w:proofErr w:type="spellStart"/>
      <w:r w:rsidRPr="00060710">
        <w:rPr>
          <w:rFonts w:cs="Arial"/>
          <w:sz w:val="24"/>
          <w:szCs w:val="24"/>
        </w:rPr>
        <w:t>to y</w:t>
      </w:r>
      <w:proofErr w:type="spellEnd"/>
      <w:r w:rsidRPr="00060710">
        <w:rPr>
          <w:rFonts w:cs="Arial"/>
          <w:sz w:val="24"/>
          <w:szCs w:val="24"/>
        </w:rPr>
        <w:t>} &lt;months&gt; &lt;years&gt; {or any other relevant subsets e.g. weight, pubertal age, gender} &lt;has&gt; &lt;have&gt; not &lt;yet&gt; been established&gt;</w:t>
      </w:r>
    </w:p>
    <w:p w:rsidR="005A14DD" w:rsidRPr="00060710" w:rsidRDefault="005A14DD" w:rsidP="005A14DD">
      <w:pPr>
        <w:spacing w:line="240" w:lineRule="auto"/>
        <w:ind w:left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&lt;No data are available.&gt; &lt;Currently available data are described in Section &lt;4.8&gt; &lt;5.1&gt; &lt;5.2&gt; but no recommendation on a posology can be made&gt;</w:t>
      </w:r>
    </w:p>
    <w:p w:rsidR="005A14DD" w:rsidRPr="00060710" w:rsidRDefault="005A14DD" w:rsidP="005A14DD">
      <w:pPr>
        <w:spacing w:line="240" w:lineRule="auto"/>
        <w:ind w:left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 xml:space="preserve">&lt;{X} should not be used in children aged {x </w:t>
      </w:r>
      <w:proofErr w:type="spellStart"/>
      <w:r w:rsidRPr="00060710">
        <w:rPr>
          <w:rFonts w:cs="Arial"/>
          <w:sz w:val="24"/>
          <w:szCs w:val="24"/>
        </w:rPr>
        <w:t>to y</w:t>
      </w:r>
      <w:proofErr w:type="spellEnd"/>
      <w:r w:rsidRPr="00060710">
        <w:rPr>
          <w:rFonts w:cs="Arial"/>
          <w:sz w:val="24"/>
          <w:szCs w:val="24"/>
        </w:rPr>
        <w:t>} &lt;years&gt; &lt;months&gt; {or any other relevant subsets e.g. weight, pubertal age, gender} because of &lt;safety&gt; &lt;efficacy&gt; concern(s)&gt;</w:t>
      </w:r>
    </w:p>
    <w:p w:rsidR="005A14DD" w:rsidRPr="00060710" w:rsidRDefault="005A14DD" w:rsidP="005A14DD">
      <w:pPr>
        <w:spacing w:line="240" w:lineRule="auto"/>
        <w:ind w:left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 xml:space="preserve">&lt;There is no relevant use of {X} &lt;in the </w:t>
      </w:r>
      <w:proofErr w:type="spellStart"/>
      <w:r w:rsidRPr="00060710">
        <w:rPr>
          <w:rFonts w:cs="Arial"/>
          <w:sz w:val="24"/>
          <w:szCs w:val="24"/>
        </w:rPr>
        <w:t>paediatric</w:t>
      </w:r>
      <w:proofErr w:type="spellEnd"/>
      <w:r w:rsidRPr="00060710">
        <w:rPr>
          <w:rFonts w:cs="Arial"/>
          <w:sz w:val="24"/>
          <w:szCs w:val="24"/>
        </w:rPr>
        <w:t xml:space="preserve"> population&gt; &lt;in children aged {x </w:t>
      </w:r>
      <w:proofErr w:type="spellStart"/>
      <w:r w:rsidRPr="00060710">
        <w:rPr>
          <w:rFonts w:cs="Arial"/>
          <w:sz w:val="24"/>
          <w:szCs w:val="24"/>
        </w:rPr>
        <w:t>to y</w:t>
      </w:r>
      <w:proofErr w:type="spellEnd"/>
      <w:r w:rsidRPr="00060710">
        <w:rPr>
          <w:rFonts w:cs="Arial"/>
          <w:sz w:val="24"/>
          <w:szCs w:val="24"/>
        </w:rPr>
        <w:t xml:space="preserve">} &lt;years&gt;, &lt;months&gt; {or any other relevant subsets e.g. weight, pubertal age, gender} &lt;in the indication&gt; </w:t>
      </w:r>
    </w:p>
    <w:p w:rsidR="005A14DD" w:rsidRPr="00060710" w:rsidRDefault="005A14DD" w:rsidP="005A14DD">
      <w:pPr>
        <w:spacing w:line="240" w:lineRule="auto"/>
        <w:ind w:left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lastRenderedPageBreak/>
        <w:t xml:space="preserve">&lt;{X} is contraindicated in children aged {x </w:t>
      </w:r>
      <w:proofErr w:type="spellStart"/>
      <w:r w:rsidRPr="00060710">
        <w:rPr>
          <w:rFonts w:cs="Arial"/>
          <w:sz w:val="24"/>
          <w:szCs w:val="24"/>
        </w:rPr>
        <w:t>to y</w:t>
      </w:r>
      <w:proofErr w:type="spellEnd"/>
      <w:r w:rsidRPr="00060710">
        <w:rPr>
          <w:rFonts w:cs="Arial"/>
          <w:sz w:val="24"/>
          <w:szCs w:val="24"/>
        </w:rPr>
        <w:t>} &lt;years&gt; &lt;months&gt; {or any other relevant subsets e.g. weight, pubertal age, gender} &lt;in the indication...&gt; (see Section 4.3)&gt;</w:t>
      </w:r>
    </w:p>
    <w:p w:rsidR="005A14DD" w:rsidRPr="00060710" w:rsidRDefault="005A14DD" w:rsidP="005A14DD">
      <w:pPr>
        <w:spacing w:line="240" w:lineRule="auto"/>
        <w:ind w:left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Method of administration</w:t>
      </w:r>
    </w:p>
    <w:p w:rsidR="005A14DD" w:rsidRPr="00060710" w:rsidRDefault="005A14DD" w:rsidP="005A14DD">
      <w:pPr>
        <w:pStyle w:val="ListParagraph"/>
        <w:numPr>
          <w:ilvl w:val="1"/>
          <w:numId w:val="4"/>
        </w:numPr>
        <w:spacing w:line="240" w:lineRule="auto"/>
        <w:ind w:left="450" w:hanging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Contraindications</w:t>
      </w:r>
    </w:p>
    <w:p w:rsidR="005A14DD" w:rsidRPr="00060710" w:rsidRDefault="005A14DD" w:rsidP="005A14DD">
      <w:pPr>
        <w:spacing w:line="240" w:lineRule="auto"/>
        <w:ind w:left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&lt;Hypersensitivity to the active substance(s) or to any of the excipients &lt;or {name of the residue(s)}&gt;</w:t>
      </w:r>
    </w:p>
    <w:p w:rsidR="005A14DD" w:rsidRPr="00060710" w:rsidRDefault="005A14DD" w:rsidP="005A14DD">
      <w:pPr>
        <w:pStyle w:val="ListParagraph"/>
        <w:numPr>
          <w:ilvl w:val="1"/>
          <w:numId w:val="4"/>
        </w:numPr>
        <w:spacing w:after="120" w:line="240" w:lineRule="auto"/>
        <w:ind w:left="446" w:hanging="446"/>
        <w:contextualSpacing w:val="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Special warnings and precautions for use</w:t>
      </w:r>
    </w:p>
    <w:p w:rsidR="005A14DD" w:rsidRPr="00060710" w:rsidRDefault="005A14DD" w:rsidP="005A14DD">
      <w:pPr>
        <w:pStyle w:val="ListParagraph"/>
        <w:numPr>
          <w:ilvl w:val="1"/>
          <w:numId w:val="4"/>
        </w:numPr>
        <w:spacing w:after="120" w:line="240" w:lineRule="auto"/>
        <w:ind w:left="446" w:hanging="446"/>
        <w:contextualSpacing w:val="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Interaction with other medicinal products and other forms of interaction</w:t>
      </w:r>
    </w:p>
    <w:p w:rsidR="005A14DD" w:rsidRPr="00060710" w:rsidRDefault="005A14DD" w:rsidP="005A14DD">
      <w:pPr>
        <w:pStyle w:val="ListParagraph"/>
        <w:spacing w:after="120" w:line="240" w:lineRule="auto"/>
        <w:ind w:left="446"/>
        <w:contextualSpacing w:val="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&lt;No interaction studies have been performed&gt;</w:t>
      </w:r>
    </w:p>
    <w:p w:rsidR="005A14DD" w:rsidRPr="00060710" w:rsidRDefault="005A14DD" w:rsidP="005A14DD">
      <w:pPr>
        <w:pStyle w:val="ListParagraph"/>
        <w:spacing w:after="120" w:line="240" w:lineRule="auto"/>
        <w:ind w:left="446"/>
        <w:contextualSpacing w:val="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&lt;Interaction studies have only been performed in adults&gt;</w:t>
      </w:r>
    </w:p>
    <w:p w:rsidR="005A14DD" w:rsidRPr="00060710" w:rsidRDefault="005A14DD" w:rsidP="005A14DD">
      <w:pPr>
        <w:pStyle w:val="ListParagraph"/>
        <w:numPr>
          <w:ilvl w:val="1"/>
          <w:numId w:val="4"/>
        </w:numPr>
        <w:spacing w:after="120" w:line="240" w:lineRule="auto"/>
        <w:ind w:left="446" w:hanging="446"/>
        <w:contextualSpacing w:val="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Pregnancy and lactation</w:t>
      </w:r>
    </w:p>
    <w:p w:rsidR="005A14DD" w:rsidRPr="00060710" w:rsidRDefault="005A14DD" w:rsidP="005A14DD">
      <w:pPr>
        <w:pStyle w:val="ListParagraph"/>
        <w:spacing w:after="120" w:line="240" w:lineRule="auto"/>
        <w:ind w:left="446"/>
        <w:contextualSpacing w:val="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&lt;Women of childbearing potential&gt;</w:t>
      </w:r>
    </w:p>
    <w:p w:rsidR="005A14DD" w:rsidRPr="00060710" w:rsidRDefault="005A14DD" w:rsidP="005A14DD">
      <w:pPr>
        <w:pStyle w:val="ListParagraph"/>
        <w:spacing w:after="120" w:line="240" w:lineRule="auto"/>
        <w:ind w:left="446"/>
        <w:contextualSpacing w:val="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&lt;Contraception in males and females&gt;</w:t>
      </w:r>
    </w:p>
    <w:p w:rsidR="005A14DD" w:rsidRPr="00060710" w:rsidRDefault="005A14DD" w:rsidP="005A14DD">
      <w:pPr>
        <w:pStyle w:val="ListParagraph"/>
        <w:spacing w:after="120" w:line="240" w:lineRule="auto"/>
        <w:ind w:left="446"/>
        <w:contextualSpacing w:val="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&lt;Pregnancy&gt;</w:t>
      </w:r>
    </w:p>
    <w:p w:rsidR="005A14DD" w:rsidRPr="00060710" w:rsidRDefault="005A14DD" w:rsidP="005A14DD">
      <w:pPr>
        <w:pStyle w:val="ListParagraph"/>
        <w:spacing w:after="120" w:line="240" w:lineRule="auto"/>
        <w:ind w:left="446"/>
        <w:contextualSpacing w:val="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&lt;Breastfeeding&gt;</w:t>
      </w:r>
    </w:p>
    <w:p w:rsidR="005A14DD" w:rsidRPr="00060710" w:rsidRDefault="005A14DD" w:rsidP="005A14DD">
      <w:pPr>
        <w:pStyle w:val="ListParagraph"/>
        <w:spacing w:after="120" w:line="240" w:lineRule="auto"/>
        <w:ind w:left="446"/>
        <w:contextualSpacing w:val="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&lt;Fertility&gt;</w:t>
      </w:r>
    </w:p>
    <w:p w:rsidR="005A14DD" w:rsidRPr="00060710" w:rsidRDefault="005A14DD" w:rsidP="005A14DD">
      <w:pPr>
        <w:pStyle w:val="ListParagraph"/>
        <w:numPr>
          <w:ilvl w:val="1"/>
          <w:numId w:val="4"/>
        </w:numPr>
        <w:spacing w:after="120" w:line="240" w:lineRule="auto"/>
        <w:ind w:left="446" w:hanging="446"/>
        <w:contextualSpacing w:val="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Effects on ability to drive and use machines</w:t>
      </w:r>
    </w:p>
    <w:p w:rsidR="005A14DD" w:rsidRPr="00060710" w:rsidRDefault="005A14DD" w:rsidP="005A14DD">
      <w:pPr>
        <w:pStyle w:val="ListParagraph"/>
        <w:spacing w:after="120" w:line="240" w:lineRule="auto"/>
        <w:ind w:left="446"/>
        <w:contextualSpacing w:val="0"/>
        <w:rPr>
          <w:rFonts w:cs="Arial"/>
          <w:sz w:val="24"/>
          <w:szCs w:val="24"/>
        </w:rPr>
      </w:pPr>
      <w:proofErr w:type="gramStart"/>
      <w:r w:rsidRPr="00060710">
        <w:rPr>
          <w:rFonts w:cs="Arial"/>
          <w:sz w:val="24"/>
          <w:szCs w:val="24"/>
        </w:rPr>
        <w:t>&lt;{</w:t>
      </w:r>
      <w:proofErr w:type="gramEnd"/>
      <w:r w:rsidRPr="00060710">
        <w:rPr>
          <w:rFonts w:cs="Arial"/>
          <w:sz w:val="24"/>
          <w:szCs w:val="24"/>
        </w:rPr>
        <w:t>Invented name} has &lt;no &lt;or negligible&gt; influence&gt; &lt;minor influence&gt;, &lt;moderate influence&gt; &lt;major influence&gt; on the ability to drive and use machines.&gt;</w:t>
      </w:r>
    </w:p>
    <w:p w:rsidR="005A14DD" w:rsidRPr="00060710" w:rsidRDefault="005A14DD" w:rsidP="005A14DD">
      <w:pPr>
        <w:pStyle w:val="ListParagraph"/>
        <w:spacing w:after="120" w:line="240" w:lineRule="auto"/>
        <w:ind w:left="446"/>
        <w:contextualSpacing w:val="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&lt;No studies on the effects on the ability to drive and use machines have been performed&gt;</w:t>
      </w:r>
    </w:p>
    <w:p w:rsidR="005A14DD" w:rsidRPr="00060710" w:rsidRDefault="005A14DD" w:rsidP="005A14DD">
      <w:pPr>
        <w:pStyle w:val="ListParagraph"/>
        <w:spacing w:after="120" w:line="240" w:lineRule="auto"/>
        <w:ind w:left="446"/>
        <w:contextualSpacing w:val="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&lt;Not relevant&gt;</w:t>
      </w:r>
    </w:p>
    <w:p w:rsidR="005A14DD" w:rsidRPr="00060710" w:rsidRDefault="005A14DD" w:rsidP="005A14DD">
      <w:pPr>
        <w:pStyle w:val="ListParagraph"/>
        <w:numPr>
          <w:ilvl w:val="1"/>
          <w:numId w:val="4"/>
        </w:numPr>
        <w:spacing w:after="120" w:line="240" w:lineRule="auto"/>
        <w:ind w:left="446" w:hanging="446"/>
        <w:contextualSpacing w:val="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Undesirable effects</w:t>
      </w:r>
    </w:p>
    <w:p w:rsidR="005A14DD" w:rsidRPr="00060710" w:rsidRDefault="005A14DD" w:rsidP="005A14DD">
      <w:pPr>
        <w:pStyle w:val="ListParagraph"/>
        <w:spacing w:after="120" w:line="240" w:lineRule="auto"/>
        <w:ind w:left="446"/>
        <w:contextualSpacing w:val="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&lt;</w:t>
      </w:r>
      <w:proofErr w:type="spellStart"/>
      <w:r w:rsidRPr="00060710">
        <w:rPr>
          <w:rFonts w:cs="Arial"/>
          <w:sz w:val="24"/>
          <w:szCs w:val="24"/>
        </w:rPr>
        <w:t>Paediatric</w:t>
      </w:r>
      <w:proofErr w:type="spellEnd"/>
      <w:r w:rsidRPr="00060710">
        <w:rPr>
          <w:rFonts w:cs="Arial"/>
          <w:sz w:val="24"/>
          <w:szCs w:val="24"/>
        </w:rPr>
        <w:t xml:space="preserve"> population&gt;</w:t>
      </w:r>
    </w:p>
    <w:p w:rsidR="005A14DD" w:rsidRPr="00060710" w:rsidRDefault="005A14DD" w:rsidP="005A14DD">
      <w:pPr>
        <w:pStyle w:val="ListParagraph"/>
        <w:numPr>
          <w:ilvl w:val="1"/>
          <w:numId w:val="4"/>
        </w:numPr>
        <w:spacing w:after="120" w:line="240" w:lineRule="auto"/>
        <w:ind w:left="446" w:hanging="446"/>
        <w:contextualSpacing w:val="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Overdose</w:t>
      </w:r>
    </w:p>
    <w:p w:rsidR="005A14DD" w:rsidRPr="00060710" w:rsidRDefault="005A14DD" w:rsidP="005A14DD">
      <w:pPr>
        <w:pStyle w:val="ListParagraph"/>
        <w:spacing w:after="120" w:line="240" w:lineRule="auto"/>
        <w:ind w:left="446"/>
        <w:contextualSpacing w:val="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&lt;No case of overdose has been reported&gt;</w:t>
      </w:r>
    </w:p>
    <w:p w:rsidR="005A14DD" w:rsidRPr="00060710" w:rsidRDefault="005A14DD" w:rsidP="005A14DD">
      <w:pPr>
        <w:pStyle w:val="ListParagraph"/>
        <w:numPr>
          <w:ilvl w:val="2"/>
          <w:numId w:val="3"/>
        </w:numPr>
        <w:spacing w:after="120" w:line="240" w:lineRule="auto"/>
        <w:ind w:left="446" w:hanging="446"/>
        <w:contextualSpacing w:val="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PHARMACOLOGICAL PROPERTIES</w:t>
      </w:r>
    </w:p>
    <w:p w:rsidR="005A14DD" w:rsidRPr="00060710" w:rsidRDefault="005A14DD" w:rsidP="005A14DD">
      <w:pPr>
        <w:pStyle w:val="ListParagraph"/>
        <w:numPr>
          <w:ilvl w:val="1"/>
          <w:numId w:val="5"/>
        </w:numPr>
        <w:spacing w:after="120" w:line="240" w:lineRule="auto"/>
        <w:ind w:left="450" w:hanging="450"/>
        <w:rPr>
          <w:rFonts w:cs="Arial"/>
          <w:sz w:val="24"/>
          <w:szCs w:val="24"/>
        </w:rPr>
      </w:pPr>
      <w:proofErr w:type="spellStart"/>
      <w:r w:rsidRPr="00060710">
        <w:rPr>
          <w:rFonts w:cs="Arial"/>
          <w:sz w:val="24"/>
          <w:szCs w:val="24"/>
        </w:rPr>
        <w:t>Pharmacodynamic</w:t>
      </w:r>
      <w:proofErr w:type="spellEnd"/>
      <w:r w:rsidRPr="00060710">
        <w:rPr>
          <w:rFonts w:cs="Arial"/>
          <w:sz w:val="24"/>
          <w:szCs w:val="24"/>
        </w:rPr>
        <w:t xml:space="preserve"> properties</w:t>
      </w:r>
    </w:p>
    <w:p w:rsidR="005A14DD" w:rsidRPr="00060710" w:rsidRDefault="005A14DD" w:rsidP="005A14DD">
      <w:pPr>
        <w:spacing w:line="240" w:lineRule="auto"/>
        <w:ind w:left="450"/>
        <w:rPr>
          <w:rFonts w:cs="Arial"/>
          <w:sz w:val="24"/>
          <w:szCs w:val="24"/>
        </w:rPr>
      </w:pPr>
      <w:proofErr w:type="spellStart"/>
      <w:r w:rsidRPr="00060710">
        <w:rPr>
          <w:rFonts w:cs="Arial"/>
          <w:sz w:val="24"/>
          <w:szCs w:val="24"/>
        </w:rPr>
        <w:t>Pharmacotherapeutic</w:t>
      </w:r>
      <w:proofErr w:type="spellEnd"/>
      <w:r w:rsidRPr="00060710">
        <w:rPr>
          <w:rFonts w:cs="Arial"/>
          <w:sz w:val="24"/>
          <w:szCs w:val="24"/>
        </w:rPr>
        <w:t xml:space="preserve"> group: {group}, ATC code: {code}</w:t>
      </w:r>
    </w:p>
    <w:p w:rsidR="005A14DD" w:rsidRPr="00060710" w:rsidRDefault="005A14DD" w:rsidP="005A14DD">
      <w:pPr>
        <w:spacing w:line="240" w:lineRule="auto"/>
        <w:ind w:left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&lt;Mechanism of action&gt;</w:t>
      </w:r>
    </w:p>
    <w:p w:rsidR="005A14DD" w:rsidRPr="00060710" w:rsidRDefault="005A14DD" w:rsidP="005A14DD">
      <w:pPr>
        <w:spacing w:line="240" w:lineRule="auto"/>
        <w:ind w:left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&lt;</w:t>
      </w:r>
      <w:proofErr w:type="spellStart"/>
      <w:r w:rsidRPr="00060710">
        <w:rPr>
          <w:rFonts w:cs="Arial"/>
          <w:sz w:val="24"/>
          <w:szCs w:val="24"/>
        </w:rPr>
        <w:t>Pharmacodynamic</w:t>
      </w:r>
      <w:proofErr w:type="spellEnd"/>
      <w:r w:rsidRPr="00060710">
        <w:rPr>
          <w:rFonts w:cs="Arial"/>
          <w:sz w:val="24"/>
          <w:szCs w:val="24"/>
        </w:rPr>
        <w:t xml:space="preserve"> effects&gt;</w:t>
      </w:r>
    </w:p>
    <w:p w:rsidR="005A14DD" w:rsidRPr="00060710" w:rsidRDefault="005A14DD" w:rsidP="005A14DD">
      <w:pPr>
        <w:spacing w:line="240" w:lineRule="auto"/>
        <w:ind w:left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lastRenderedPageBreak/>
        <w:t>&lt;Clinical efficacy and safety&gt;</w:t>
      </w:r>
    </w:p>
    <w:p w:rsidR="005A14DD" w:rsidRPr="00060710" w:rsidRDefault="005A14DD" w:rsidP="005A14DD">
      <w:pPr>
        <w:spacing w:line="240" w:lineRule="auto"/>
        <w:ind w:left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&lt;</w:t>
      </w:r>
      <w:proofErr w:type="spellStart"/>
      <w:r w:rsidRPr="00060710">
        <w:rPr>
          <w:rFonts w:cs="Arial"/>
          <w:sz w:val="24"/>
          <w:szCs w:val="24"/>
        </w:rPr>
        <w:t>Paediatric</w:t>
      </w:r>
      <w:proofErr w:type="spellEnd"/>
      <w:r w:rsidRPr="00060710">
        <w:rPr>
          <w:rFonts w:cs="Arial"/>
          <w:sz w:val="24"/>
          <w:szCs w:val="24"/>
        </w:rPr>
        <w:t xml:space="preserve"> population&gt;</w:t>
      </w:r>
    </w:p>
    <w:p w:rsidR="005A14DD" w:rsidRPr="00060710" w:rsidRDefault="005A14DD" w:rsidP="005A14DD">
      <w:pPr>
        <w:pStyle w:val="ListParagraph"/>
        <w:numPr>
          <w:ilvl w:val="1"/>
          <w:numId w:val="5"/>
        </w:numPr>
        <w:spacing w:after="120" w:line="240" w:lineRule="auto"/>
        <w:ind w:left="450" w:hanging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Pharmacokinetic properties</w:t>
      </w:r>
    </w:p>
    <w:p w:rsidR="005A14DD" w:rsidRPr="00060710" w:rsidRDefault="005A14DD" w:rsidP="005A14DD">
      <w:pPr>
        <w:spacing w:line="240" w:lineRule="auto"/>
        <w:ind w:left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&lt;</w:t>
      </w:r>
      <w:proofErr w:type="spellStart"/>
      <w:r w:rsidRPr="00060710">
        <w:rPr>
          <w:rFonts w:cs="Arial"/>
          <w:sz w:val="24"/>
          <w:szCs w:val="24"/>
        </w:rPr>
        <w:t>Paediatric</w:t>
      </w:r>
      <w:proofErr w:type="spellEnd"/>
      <w:r w:rsidRPr="00060710">
        <w:rPr>
          <w:rFonts w:cs="Arial"/>
          <w:sz w:val="24"/>
          <w:szCs w:val="24"/>
        </w:rPr>
        <w:t xml:space="preserve"> population&gt;</w:t>
      </w:r>
    </w:p>
    <w:p w:rsidR="005A14DD" w:rsidRPr="00060710" w:rsidRDefault="005A14DD" w:rsidP="005A14DD">
      <w:pPr>
        <w:pStyle w:val="ListParagraph"/>
        <w:numPr>
          <w:ilvl w:val="1"/>
          <w:numId w:val="5"/>
        </w:numPr>
        <w:spacing w:after="120" w:line="240" w:lineRule="auto"/>
        <w:ind w:left="450" w:hanging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Preclinical safety data</w:t>
      </w:r>
    </w:p>
    <w:p w:rsidR="005A14DD" w:rsidRPr="00060710" w:rsidRDefault="005A14DD" w:rsidP="005A14DD">
      <w:pPr>
        <w:spacing w:line="240" w:lineRule="auto"/>
        <w:ind w:left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 xml:space="preserve">&lt;Non-clinical data reveal no special hazard for humans based on conventional studies of safety pharmacology, repeated dose toxicity, </w:t>
      </w:r>
      <w:proofErr w:type="spellStart"/>
      <w:r w:rsidRPr="00060710">
        <w:rPr>
          <w:rFonts w:cs="Arial"/>
          <w:sz w:val="24"/>
          <w:szCs w:val="24"/>
        </w:rPr>
        <w:t>genotoxicity</w:t>
      </w:r>
      <w:proofErr w:type="spellEnd"/>
      <w:r w:rsidRPr="00060710">
        <w:rPr>
          <w:rFonts w:cs="Arial"/>
          <w:sz w:val="24"/>
          <w:szCs w:val="24"/>
        </w:rPr>
        <w:t>, carcinogenic potential, toxicity to reproduction and development.&gt;</w:t>
      </w:r>
    </w:p>
    <w:p w:rsidR="005A14DD" w:rsidRPr="00060710" w:rsidRDefault="005A14DD" w:rsidP="005A14DD">
      <w:pPr>
        <w:spacing w:line="240" w:lineRule="auto"/>
        <w:ind w:left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&lt;Effects in non-clinical studies were observed only at exposures considered sufficiently in excess of the maximum human exposure indicating little relevance to clinical use.&gt;</w:t>
      </w:r>
    </w:p>
    <w:p w:rsidR="005A14DD" w:rsidRPr="00060710" w:rsidRDefault="005A14DD" w:rsidP="005A14DD">
      <w:pPr>
        <w:spacing w:line="240" w:lineRule="auto"/>
        <w:ind w:left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&lt;Adverse reactions not observed in clinical studies, but seen in animals at exposure levels similar to clinical exposure levels and with possible relevance to clinical use were as follows:&gt;</w:t>
      </w:r>
    </w:p>
    <w:p w:rsidR="005A14DD" w:rsidRPr="00060710" w:rsidRDefault="005A14DD" w:rsidP="005A14DD">
      <w:pPr>
        <w:pStyle w:val="ListParagraph"/>
        <w:numPr>
          <w:ilvl w:val="2"/>
          <w:numId w:val="3"/>
        </w:numPr>
        <w:spacing w:after="120" w:line="240" w:lineRule="auto"/>
        <w:ind w:left="446" w:hanging="446"/>
        <w:contextualSpacing w:val="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PHARMACEUTICAL PARTICULARS</w:t>
      </w:r>
    </w:p>
    <w:p w:rsidR="005A14DD" w:rsidRPr="00060710" w:rsidRDefault="005A14DD" w:rsidP="005A14DD">
      <w:pPr>
        <w:pStyle w:val="ListParagraph"/>
        <w:numPr>
          <w:ilvl w:val="1"/>
          <w:numId w:val="6"/>
        </w:numPr>
        <w:spacing w:after="120" w:line="240" w:lineRule="auto"/>
        <w:ind w:left="446" w:hanging="446"/>
        <w:contextualSpacing w:val="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List of excipients</w:t>
      </w:r>
    </w:p>
    <w:p w:rsidR="005A14DD" w:rsidRPr="00060710" w:rsidRDefault="005A14DD" w:rsidP="005A14DD">
      <w:pPr>
        <w:pStyle w:val="ListParagraph"/>
        <w:numPr>
          <w:ilvl w:val="1"/>
          <w:numId w:val="6"/>
        </w:numPr>
        <w:spacing w:after="120" w:line="240" w:lineRule="auto"/>
        <w:ind w:left="450" w:hanging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Incompatibilities</w:t>
      </w:r>
    </w:p>
    <w:p w:rsidR="005A14DD" w:rsidRPr="00060710" w:rsidRDefault="005A14DD" w:rsidP="005A14DD">
      <w:pPr>
        <w:spacing w:line="240" w:lineRule="auto"/>
        <w:ind w:left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&lt;Not applicable.&gt;</w:t>
      </w:r>
    </w:p>
    <w:p w:rsidR="005A14DD" w:rsidRPr="00060710" w:rsidRDefault="005A14DD" w:rsidP="005A14DD">
      <w:pPr>
        <w:spacing w:line="240" w:lineRule="auto"/>
        <w:ind w:left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&lt;In the absence of compatibility studies, this medicinal product must not be mixed with other pharmaceutical products.&gt;</w:t>
      </w:r>
    </w:p>
    <w:p w:rsidR="005A14DD" w:rsidRPr="00060710" w:rsidRDefault="005A14DD" w:rsidP="005A14DD">
      <w:pPr>
        <w:spacing w:line="240" w:lineRule="auto"/>
        <w:ind w:left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&lt;This medicinal product must not be mixed with other medicinal products except those mentioned in Section 6.6.&gt;</w:t>
      </w:r>
    </w:p>
    <w:p w:rsidR="005A14DD" w:rsidRPr="00060710" w:rsidRDefault="005A14DD" w:rsidP="005A14DD">
      <w:pPr>
        <w:pStyle w:val="ListParagraph"/>
        <w:numPr>
          <w:ilvl w:val="1"/>
          <w:numId w:val="6"/>
        </w:numPr>
        <w:spacing w:after="120" w:line="240" w:lineRule="auto"/>
        <w:ind w:left="450" w:hanging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Shelf life</w:t>
      </w:r>
    </w:p>
    <w:p w:rsidR="005A14DD" w:rsidRPr="00060710" w:rsidRDefault="005A14DD" w:rsidP="005A14DD">
      <w:pPr>
        <w:spacing w:line="240" w:lineRule="auto"/>
        <w:ind w:left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&lt;6 months&gt; &lt;1 year&gt; &lt;18 months&gt; &lt;2 years&gt; &lt;30 months&gt; &lt;3 years&gt;</w:t>
      </w:r>
    </w:p>
    <w:p w:rsidR="005A14DD" w:rsidRPr="00060710" w:rsidRDefault="005A14DD" w:rsidP="005A14DD">
      <w:pPr>
        <w:spacing w:line="240" w:lineRule="auto"/>
        <w:rPr>
          <w:rFonts w:cs="Arial"/>
          <w:sz w:val="24"/>
          <w:szCs w:val="24"/>
        </w:rPr>
      </w:pPr>
    </w:p>
    <w:p w:rsidR="005A14DD" w:rsidRPr="00060710" w:rsidRDefault="005A14DD" w:rsidP="005A14DD">
      <w:pPr>
        <w:pStyle w:val="ListParagraph"/>
        <w:numPr>
          <w:ilvl w:val="1"/>
          <w:numId w:val="6"/>
        </w:numPr>
        <w:spacing w:after="120" w:line="240" w:lineRule="auto"/>
        <w:ind w:left="450" w:hanging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Special precautions for storage</w:t>
      </w:r>
    </w:p>
    <w:p w:rsidR="005A14DD" w:rsidRPr="00060710" w:rsidRDefault="005A14DD" w:rsidP="005A14DD">
      <w:pPr>
        <w:spacing w:line="240" w:lineRule="auto"/>
        <w:ind w:left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[For storage condition statements see NDA guidance on labelling]</w:t>
      </w:r>
    </w:p>
    <w:p w:rsidR="005A14DD" w:rsidRPr="00060710" w:rsidRDefault="005A14DD" w:rsidP="005A14DD">
      <w:pPr>
        <w:spacing w:line="240" w:lineRule="auto"/>
        <w:ind w:left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&lt;For storage conditions of the &lt;reconstituted&gt; &lt;diluted&gt; medicinal product, see Section 6.3.&gt;</w:t>
      </w:r>
    </w:p>
    <w:p w:rsidR="005A14DD" w:rsidRPr="00060710" w:rsidRDefault="005A14DD" w:rsidP="005A14DD">
      <w:pPr>
        <w:pStyle w:val="ListParagraph"/>
        <w:numPr>
          <w:ilvl w:val="1"/>
          <w:numId w:val="6"/>
        </w:numPr>
        <w:spacing w:after="120" w:line="240" w:lineRule="auto"/>
        <w:ind w:left="450" w:hanging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Nature and contents of container &lt;and special equipment for use, administration or implantation&gt;</w:t>
      </w:r>
    </w:p>
    <w:p w:rsidR="005A14DD" w:rsidRPr="00060710" w:rsidRDefault="005A14DD" w:rsidP="005A14DD">
      <w:pPr>
        <w:spacing w:line="240" w:lineRule="auto"/>
        <w:ind w:left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&lt;Not all pack sizes may be marketed.&gt;</w:t>
      </w:r>
    </w:p>
    <w:p w:rsidR="005A14DD" w:rsidRPr="00060710" w:rsidRDefault="005A14DD" w:rsidP="005A14DD">
      <w:pPr>
        <w:pStyle w:val="ListParagraph"/>
        <w:numPr>
          <w:ilvl w:val="1"/>
          <w:numId w:val="6"/>
        </w:numPr>
        <w:spacing w:after="120" w:line="240" w:lineRule="auto"/>
        <w:ind w:left="450" w:hanging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lastRenderedPageBreak/>
        <w:t>Special precautions for disposal &lt;and other handling&gt;</w:t>
      </w:r>
    </w:p>
    <w:p w:rsidR="005A14DD" w:rsidRPr="00060710" w:rsidRDefault="005A14DD" w:rsidP="005A14DD">
      <w:pPr>
        <w:spacing w:line="240" w:lineRule="auto"/>
        <w:ind w:left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&lt;No special requirements.&gt;</w:t>
      </w:r>
    </w:p>
    <w:p w:rsidR="005A14DD" w:rsidRPr="00060710" w:rsidRDefault="005A14DD" w:rsidP="005A14DD">
      <w:pPr>
        <w:spacing w:line="240" w:lineRule="auto"/>
        <w:ind w:left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&lt;Any unused product or waste material should be disposed of in accordance with local requirements.&gt;</w:t>
      </w:r>
    </w:p>
    <w:p w:rsidR="005A14DD" w:rsidRPr="00060710" w:rsidRDefault="005A14DD" w:rsidP="005A14DD">
      <w:pPr>
        <w:pStyle w:val="ListParagraph"/>
        <w:numPr>
          <w:ilvl w:val="2"/>
          <w:numId w:val="3"/>
        </w:numPr>
        <w:spacing w:after="120" w:line="240" w:lineRule="auto"/>
        <w:ind w:left="446" w:hanging="446"/>
        <w:contextualSpacing w:val="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APPLICANT/SUPPLIER</w:t>
      </w:r>
    </w:p>
    <w:p w:rsidR="005A14DD" w:rsidRPr="00060710" w:rsidRDefault="005A14DD" w:rsidP="005A14DD">
      <w:pPr>
        <w:spacing w:line="240" w:lineRule="auto"/>
        <w:ind w:left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{Name and address}</w:t>
      </w:r>
    </w:p>
    <w:p w:rsidR="005A14DD" w:rsidRPr="00060710" w:rsidRDefault="005A14DD" w:rsidP="005A14DD">
      <w:pPr>
        <w:spacing w:line="240" w:lineRule="auto"/>
        <w:ind w:left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&lt;{</w:t>
      </w:r>
      <w:proofErr w:type="spellStart"/>
      <w:r w:rsidRPr="00060710">
        <w:rPr>
          <w:rFonts w:cs="Arial"/>
          <w:sz w:val="24"/>
          <w:szCs w:val="24"/>
        </w:rPr>
        <w:t>tel</w:t>
      </w:r>
      <w:proofErr w:type="spellEnd"/>
      <w:r w:rsidRPr="00060710">
        <w:rPr>
          <w:rFonts w:cs="Arial"/>
          <w:sz w:val="24"/>
          <w:szCs w:val="24"/>
        </w:rPr>
        <w:t>}&gt;</w:t>
      </w:r>
    </w:p>
    <w:p w:rsidR="005A14DD" w:rsidRPr="00060710" w:rsidRDefault="005A14DD" w:rsidP="005A14DD">
      <w:pPr>
        <w:spacing w:line="240" w:lineRule="auto"/>
        <w:ind w:left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&lt;{fax}&gt;</w:t>
      </w:r>
    </w:p>
    <w:p w:rsidR="005A14DD" w:rsidRPr="00060710" w:rsidRDefault="005A14DD" w:rsidP="005A14DD">
      <w:pPr>
        <w:spacing w:line="240" w:lineRule="auto"/>
        <w:ind w:left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&lt;{email}&gt;</w:t>
      </w:r>
    </w:p>
    <w:p w:rsidR="005A14DD" w:rsidRPr="00060710" w:rsidRDefault="005A14DD" w:rsidP="005A14DD">
      <w:pPr>
        <w:pStyle w:val="ListParagraph"/>
        <w:numPr>
          <w:ilvl w:val="2"/>
          <w:numId w:val="3"/>
        </w:numPr>
        <w:spacing w:after="120" w:line="240" w:lineRule="auto"/>
        <w:ind w:left="446" w:hanging="446"/>
        <w:contextualSpacing w:val="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WHO PREQUALIFICATION REFERENCE NUMBER</w:t>
      </w:r>
    </w:p>
    <w:p w:rsidR="005A14DD" w:rsidRPr="00060710" w:rsidRDefault="005A14DD" w:rsidP="005A14DD">
      <w:pPr>
        <w:pStyle w:val="ListParagraph"/>
        <w:numPr>
          <w:ilvl w:val="2"/>
          <w:numId w:val="3"/>
        </w:numPr>
        <w:spacing w:after="120" w:line="240" w:lineRule="auto"/>
        <w:ind w:left="446" w:hanging="446"/>
        <w:contextualSpacing w:val="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 xml:space="preserve">DATE OF &lt;PREQUALIFICATION&gt; / &lt;RENEWAL OF PREQUALIFICATION&gt; </w:t>
      </w:r>
    </w:p>
    <w:p w:rsidR="005A14DD" w:rsidRPr="00060710" w:rsidRDefault="005A14DD" w:rsidP="005A14DD">
      <w:pPr>
        <w:spacing w:line="240" w:lineRule="auto"/>
        <w:ind w:left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 xml:space="preserve">&lt;{DD/MM/YYYY}&gt; </w:t>
      </w:r>
      <w:proofErr w:type="gramStart"/>
      <w:r w:rsidRPr="00060710">
        <w:rPr>
          <w:rFonts w:cs="Arial"/>
          <w:sz w:val="24"/>
          <w:szCs w:val="24"/>
        </w:rPr>
        <w:t>&lt;{</w:t>
      </w:r>
      <w:proofErr w:type="gramEnd"/>
      <w:r w:rsidRPr="00060710">
        <w:rPr>
          <w:rFonts w:cs="Arial"/>
          <w:sz w:val="24"/>
          <w:szCs w:val="24"/>
        </w:rPr>
        <w:t>DD month YYYY}&gt;</w:t>
      </w:r>
    </w:p>
    <w:p w:rsidR="005A14DD" w:rsidRPr="00060710" w:rsidRDefault="005A14DD" w:rsidP="005A14DD">
      <w:pPr>
        <w:pStyle w:val="ListParagraph"/>
        <w:numPr>
          <w:ilvl w:val="2"/>
          <w:numId w:val="3"/>
        </w:numPr>
        <w:spacing w:after="120" w:line="240" w:lineRule="auto"/>
        <w:ind w:left="446" w:hanging="446"/>
        <w:contextualSpacing w:val="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DATE OF REVISION OF THE TEXT</w:t>
      </w:r>
    </w:p>
    <w:p w:rsidR="005A14DD" w:rsidRPr="00060710" w:rsidRDefault="005A14DD" w:rsidP="005A14DD">
      <w:pPr>
        <w:spacing w:line="240" w:lineRule="auto"/>
        <w:ind w:left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t>{MM/YYYY}</w:t>
      </w:r>
    </w:p>
    <w:p w:rsidR="005A14DD" w:rsidRPr="00060710" w:rsidRDefault="005A14DD" w:rsidP="005A14DD">
      <w:pPr>
        <w:spacing w:line="240" w:lineRule="auto"/>
        <w:ind w:left="450"/>
        <w:rPr>
          <w:rFonts w:cs="Arial"/>
          <w:sz w:val="24"/>
          <w:szCs w:val="24"/>
        </w:rPr>
      </w:pPr>
      <w:r w:rsidRPr="00060710">
        <w:rPr>
          <w:rFonts w:cs="Arial"/>
          <w:sz w:val="24"/>
          <w:szCs w:val="24"/>
        </w:rPr>
        <w:br w:type="page"/>
      </w:r>
    </w:p>
    <w:p w:rsidR="00F1536D" w:rsidRDefault="0089100C"/>
    <w:sectPr w:rsidR="00F1536D" w:rsidSect="00426E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152" w:bottom="432" w:left="1440" w:header="57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00C" w:rsidRDefault="0089100C" w:rsidP="00426E52">
      <w:pPr>
        <w:spacing w:after="0" w:line="240" w:lineRule="auto"/>
      </w:pPr>
      <w:r>
        <w:separator/>
      </w:r>
    </w:p>
  </w:endnote>
  <w:endnote w:type="continuationSeparator" w:id="0">
    <w:p w:rsidR="0089100C" w:rsidRDefault="0089100C" w:rsidP="00426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4DD" w:rsidRDefault="005A14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4DD" w:rsidRDefault="005A14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4DD" w:rsidRDefault="005A14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00C" w:rsidRDefault="0089100C" w:rsidP="00426E52">
      <w:pPr>
        <w:spacing w:after="0" w:line="240" w:lineRule="auto"/>
      </w:pPr>
      <w:r>
        <w:separator/>
      </w:r>
    </w:p>
  </w:footnote>
  <w:footnote w:type="continuationSeparator" w:id="0">
    <w:p w:rsidR="0089100C" w:rsidRDefault="0089100C" w:rsidP="00426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4DD" w:rsidRDefault="005A14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85"/>
      <w:gridCol w:w="5612"/>
      <w:gridCol w:w="2241"/>
    </w:tblGrid>
    <w:tr w:rsidR="009F16F2" w:rsidRPr="00426E52" w:rsidTr="009E46ED">
      <w:trPr>
        <w:trHeight w:val="1430"/>
      </w:trPr>
      <w:tc>
        <w:tcPr>
          <w:tcW w:w="910" w:type="pct"/>
          <w:noWrap/>
          <w:vAlign w:val="center"/>
          <w:hideMark/>
        </w:tcPr>
        <w:p w:rsidR="00426E52" w:rsidRPr="00426E52" w:rsidRDefault="00426E52" w:rsidP="00426E52">
          <w:pPr>
            <w:tabs>
              <w:tab w:val="center" w:pos="4680"/>
              <w:tab w:val="right" w:pos="9360"/>
              <w:tab w:val="right" w:pos="9639"/>
            </w:tabs>
            <w:spacing w:after="200" w:line="276" w:lineRule="auto"/>
            <w:jc w:val="center"/>
            <w:rPr>
              <w:rFonts w:ascii="Calibri" w:eastAsia="Calibri" w:hAnsi="Calibri" w:cs="Times New Roman"/>
            </w:rPr>
          </w:pPr>
          <w:r w:rsidRPr="00426E52">
            <w:rPr>
              <w:rFonts w:eastAsia="Calibri" w:cs="Arial"/>
              <w:noProof/>
              <w:color w:val="000000"/>
              <w:sz w:val="28"/>
            </w:rPr>
            <w:drawing>
              <wp:inline distT="0" distB="0" distL="0" distR="0" wp14:anchorId="1AB4592C" wp14:editId="13CDB13F">
                <wp:extent cx="810895" cy="795020"/>
                <wp:effectExtent l="0" t="0" r="0" b="0"/>
                <wp:docPr id="1" name="Picture 1" descr="Description: nd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Description: nd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8" w:type="pct"/>
          <w:hideMark/>
        </w:tcPr>
        <w:p w:rsidR="00426E52" w:rsidRPr="00426E52" w:rsidRDefault="00426E52" w:rsidP="00426E52">
          <w:pPr>
            <w:tabs>
              <w:tab w:val="center" w:pos="4680"/>
              <w:tab w:val="right" w:pos="9360"/>
              <w:tab w:val="right" w:pos="9639"/>
            </w:tabs>
            <w:spacing w:after="0" w:line="240" w:lineRule="auto"/>
            <w:jc w:val="center"/>
            <w:rPr>
              <w:rFonts w:eastAsia="Calibri" w:cs="Arial"/>
              <w:b/>
            </w:rPr>
          </w:pPr>
          <w:r w:rsidRPr="00426E52">
            <w:rPr>
              <w:rFonts w:eastAsia="Calibri" w:cs="Arial"/>
              <w:b/>
            </w:rPr>
            <w:t>National Drug Authority</w:t>
          </w:r>
        </w:p>
        <w:p w:rsidR="00426E52" w:rsidRPr="00426E52" w:rsidRDefault="00426E52" w:rsidP="00426E52">
          <w:pPr>
            <w:tabs>
              <w:tab w:val="center" w:pos="4680"/>
              <w:tab w:val="right" w:pos="9360"/>
              <w:tab w:val="right" w:pos="9639"/>
            </w:tabs>
            <w:spacing w:after="0" w:line="240" w:lineRule="auto"/>
            <w:jc w:val="center"/>
            <w:rPr>
              <w:rFonts w:eastAsia="Calibri" w:cs="Arial"/>
            </w:rPr>
          </w:pPr>
          <w:r w:rsidRPr="00426E52">
            <w:rPr>
              <w:rFonts w:eastAsia="Calibri" w:cs="Arial"/>
            </w:rPr>
            <w:t xml:space="preserve">Plot No. 19 </w:t>
          </w:r>
          <w:proofErr w:type="spellStart"/>
          <w:r w:rsidRPr="00426E52">
            <w:rPr>
              <w:rFonts w:eastAsia="Calibri" w:cs="Arial"/>
            </w:rPr>
            <w:t>Rumee</w:t>
          </w:r>
          <w:proofErr w:type="spellEnd"/>
          <w:r w:rsidRPr="00426E52">
            <w:rPr>
              <w:rFonts w:eastAsia="Calibri" w:cs="Arial"/>
            </w:rPr>
            <w:t xml:space="preserve"> Towers, Lumumba Avenue</w:t>
          </w:r>
        </w:p>
        <w:p w:rsidR="00426E52" w:rsidRPr="00426E52" w:rsidRDefault="00426E52" w:rsidP="00426E52">
          <w:pPr>
            <w:tabs>
              <w:tab w:val="center" w:pos="4680"/>
              <w:tab w:val="right" w:pos="9360"/>
              <w:tab w:val="right" w:pos="9639"/>
            </w:tabs>
            <w:spacing w:after="0" w:line="240" w:lineRule="auto"/>
            <w:jc w:val="center"/>
            <w:rPr>
              <w:rFonts w:eastAsia="Calibri" w:cs="Arial"/>
            </w:rPr>
          </w:pPr>
          <w:r w:rsidRPr="00426E52">
            <w:rPr>
              <w:rFonts w:eastAsia="Calibri" w:cs="Arial"/>
            </w:rPr>
            <w:t>P.O. Box 23096,</w:t>
          </w:r>
          <w:r w:rsidRPr="00426E52">
            <w:rPr>
              <w:rFonts w:eastAsia="Calibri" w:cs="Arial"/>
              <w:bCs/>
            </w:rPr>
            <w:t xml:space="preserve"> Kampala, Uganda.</w:t>
          </w:r>
        </w:p>
        <w:p w:rsidR="00426E52" w:rsidRPr="00426E52" w:rsidRDefault="00426E52" w:rsidP="00426E52">
          <w:pPr>
            <w:tabs>
              <w:tab w:val="center" w:pos="4680"/>
              <w:tab w:val="right" w:pos="9360"/>
              <w:tab w:val="right" w:pos="9639"/>
            </w:tabs>
            <w:spacing w:after="0" w:line="240" w:lineRule="auto"/>
            <w:jc w:val="center"/>
            <w:rPr>
              <w:rFonts w:eastAsia="Calibri" w:cs="Arial"/>
            </w:rPr>
          </w:pPr>
          <w:r w:rsidRPr="00426E52">
            <w:rPr>
              <w:rFonts w:eastAsia="Calibri" w:cs="Arial"/>
            </w:rPr>
            <w:t xml:space="preserve">email: </w:t>
          </w:r>
          <w:hyperlink r:id="rId2" w:history="1">
            <w:r w:rsidRPr="00426E52">
              <w:rPr>
                <w:rFonts w:eastAsia="Calibri" w:cs="Arial"/>
                <w:color w:val="0000FF"/>
                <w:u w:val="single"/>
              </w:rPr>
              <w:t>ndaug@nda.or.ug</w:t>
            </w:r>
          </w:hyperlink>
          <w:r w:rsidRPr="00426E52">
            <w:rPr>
              <w:rFonts w:eastAsia="Calibri" w:cs="Arial"/>
            </w:rPr>
            <w:t xml:space="preserve">; website: </w:t>
          </w:r>
          <w:hyperlink r:id="rId3" w:history="1">
            <w:r w:rsidRPr="00426E52">
              <w:rPr>
                <w:rFonts w:eastAsia="Calibri" w:cs="Arial"/>
                <w:color w:val="0000FF"/>
                <w:u w:val="single"/>
              </w:rPr>
              <w:t>www.nda.or.ug</w:t>
            </w:r>
          </w:hyperlink>
        </w:p>
        <w:p w:rsidR="00426E52" w:rsidRPr="00426E52" w:rsidRDefault="00426E52" w:rsidP="00426E52">
          <w:pPr>
            <w:tabs>
              <w:tab w:val="center" w:pos="4680"/>
              <w:tab w:val="right" w:pos="9360"/>
              <w:tab w:val="right" w:pos="9639"/>
            </w:tabs>
            <w:spacing w:after="0" w:line="240" w:lineRule="auto"/>
            <w:jc w:val="center"/>
            <w:rPr>
              <w:rFonts w:ascii="Calibri" w:eastAsia="Calibri" w:hAnsi="Calibri" w:cs="Times New Roman"/>
              <w:sz w:val="16"/>
              <w:szCs w:val="16"/>
            </w:rPr>
          </w:pPr>
          <w:r w:rsidRPr="00426E52">
            <w:rPr>
              <w:rFonts w:eastAsia="Calibri" w:cs="Arial"/>
            </w:rPr>
            <w:t>Tel: +256-417788100</w:t>
          </w:r>
        </w:p>
      </w:tc>
      <w:bookmarkStart w:id="0" w:name="_GoBack"/>
      <w:tc>
        <w:tcPr>
          <w:tcW w:w="1152" w:type="pct"/>
          <w:hideMark/>
        </w:tcPr>
        <w:p w:rsidR="00426E52" w:rsidRPr="00426E52" w:rsidRDefault="005A14DD" w:rsidP="00426E52">
          <w:pPr>
            <w:tabs>
              <w:tab w:val="center" w:pos="4680"/>
              <w:tab w:val="right" w:pos="9360"/>
              <w:tab w:val="right" w:pos="9639"/>
            </w:tabs>
            <w:spacing w:after="200" w:line="276" w:lineRule="auto"/>
            <w:rPr>
              <w:rFonts w:ascii="Calibri" w:eastAsia="Calibri" w:hAnsi="Calibri" w:cs="Times New Roman"/>
              <w:lang w:eastAsia="x-none"/>
            </w:rPr>
          </w:pPr>
          <w:r w:rsidRPr="00426E52">
            <w:rPr>
              <w:rFonts w:eastAsia="Calibri" w:cs="Arial"/>
              <w:b/>
              <w:sz w:val="24"/>
              <w:szCs w:val="24"/>
            </w:rPr>
            <w:object w:dxaOrig="1750" w:dyaOrig="5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24" type="#_x0000_t75" style="width:92pt;height:30pt">
                <v:imagedata r:id="rId4" o:title=""/>
              </v:shape>
              <o:OLEObject Type="Embed" ProgID="Visio.Drawing.11" ShapeID="_x0000_i1124" DrawAspect="Content" ObjectID="_1738406552" r:id="rId5"/>
            </w:object>
          </w:r>
          <w:bookmarkEnd w:id="0"/>
        </w:p>
        <w:p w:rsidR="00426E52" w:rsidRPr="00426E52" w:rsidRDefault="00426E52" w:rsidP="00426E52">
          <w:pPr>
            <w:tabs>
              <w:tab w:val="center" w:pos="4680"/>
              <w:tab w:val="right" w:pos="9360"/>
              <w:tab w:val="right" w:pos="9639"/>
            </w:tabs>
            <w:spacing w:after="0" w:line="240" w:lineRule="auto"/>
            <w:rPr>
              <w:rFonts w:eastAsia="Calibri" w:cs="Arial"/>
              <w:lang w:eastAsia="x-none"/>
            </w:rPr>
          </w:pPr>
          <w:r w:rsidRPr="00426E52">
            <w:rPr>
              <w:rFonts w:eastAsia="Calibri" w:cs="Arial"/>
              <w:lang w:eastAsia="x-none"/>
            </w:rPr>
            <w:t xml:space="preserve">Page </w:t>
          </w:r>
          <w:r w:rsidRPr="00426E52">
            <w:rPr>
              <w:rFonts w:eastAsia="Calibri" w:cs="Arial"/>
              <w:bCs/>
              <w:lang w:eastAsia="x-none"/>
            </w:rPr>
            <w:fldChar w:fldCharType="begin"/>
          </w:r>
          <w:r w:rsidRPr="00426E52">
            <w:rPr>
              <w:rFonts w:eastAsia="Calibri" w:cs="Arial"/>
              <w:bCs/>
              <w:lang w:eastAsia="x-none"/>
            </w:rPr>
            <w:instrText xml:space="preserve"> PAGE  \* Arabic  \* MERGEFORMAT </w:instrText>
          </w:r>
          <w:r w:rsidRPr="00426E52">
            <w:rPr>
              <w:rFonts w:eastAsia="Calibri" w:cs="Arial"/>
              <w:bCs/>
              <w:lang w:eastAsia="x-none"/>
            </w:rPr>
            <w:fldChar w:fldCharType="separate"/>
          </w:r>
          <w:r w:rsidR="005A14DD">
            <w:rPr>
              <w:rFonts w:eastAsia="Calibri" w:cs="Arial"/>
              <w:bCs/>
              <w:noProof/>
              <w:lang w:eastAsia="x-none"/>
            </w:rPr>
            <w:t>1</w:t>
          </w:r>
          <w:r w:rsidRPr="00426E52">
            <w:rPr>
              <w:rFonts w:eastAsia="Calibri" w:cs="Arial"/>
              <w:bCs/>
              <w:lang w:eastAsia="x-none"/>
            </w:rPr>
            <w:fldChar w:fldCharType="end"/>
          </w:r>
          <w:r w:rsidRPr="00426E52">
            <w:rPr>
              <w:rFonts w:eastAsia="Calibri" w:cs="Arial"/>
              <w:lang w:eastAsia="x-none"/>
            </w:rPr>
            <w:t xml:space="preserve"> of </w:t>
          </w:r>
          <w:r w:rsidRPr="00426E52">
            <w:rPr>
              <w:rFonts w:eastAsia="Calibri" w:cs="Arial"/>
              <w:bCs/>
              <w:lang w:eastAsia="x-none"/>
            </w:rPr>
            <w:fldChar w:fldCharType="begin"/>
          </w:r>
          <w:r w:rsidRPr="00426E52">
            <w:rPr>
              <w:rFonts w:eastAsia="Calibri" w:cs="Arial"/>
              <w:bCs/>
              <w:lang w:eastAsia="x-none"/>
            </w:rPr>
            <w:instrText xml:space="preserve"> NUMPAGES  \* Arabic  \* MERGEFORMAT </w:instrText>
          </w:r>
          <w:r w:rsidRPr="00426E52">
            <w:rPr>
              <w:rFonts w:eastAsia="Calibri" w:cs="Arial"/>
              <w:bCs/>
              <w:lang w:eastAsia="x-none"/>
            </w:rPr>
            <w:fldChar w:fldCharType="separate"/>
          </w:r>
          <w:r w:rsidR="005A14DD">
            <w:rPr>
              <w:rFonts w:eastAsia="Calibri" w:cs="Arial"/>
              <w:bCs/>
              <w:noProof/>
              <w:lang w:eastAsia="x-none"/>
            </w:rPr>
            <w:t>5</w:t>
          </w:r>
          <w:r w:rsidRPr="00426E52">
            <w:rPr>
              <w:rFonts w:eastAsia="Calibri" w:cs="Arial"/>
              <w:bCs/>
              <w:lang w:eastAsia="x-none"/>
            </w:rPr>
            <w:fldChar w:fldCharType="end"/>
          </w:r>
        </w:p>
      </w:tc>
    </w:tr>
    <w:tr w:rsidR="00426E52" w:rsidRPr="00426E52" w:rsidTr="003E44BD">
      <w:trPr>
        <w:trHeight w:val="373"/>
      </w:trPr>
      <w:tc>
        <w:tcPr>
          <w:tcW w:w="5000" w:type="pct"/>
          <w:gridSpan w:val="3"/>
          <w:noWrap/>
          <w:vAlign w:val="center"/>
          <w:hideMark/>
        </w:tcPr>
        <w:p w:rsidR="00426E52" w:rsidRPr="00426E52" w:rsidRDefault="005A14DD" w:rsidP="003E44BD">
          <w:pPr>
            <w:keepNext/>
            <w:keepLines/>
            <w:spacing w:after="0" w:line="240" w:lineRule="auto"/>
            <w:jc w:val="center"/>
            <w:outlineLvl w:val="0"/>
            <w:rPr>
              <w:rFonts w:eastAsiaTheme="majorEastAsia" w:cs="Arial"/>
              <w:b/>
              <w:color w:val="000000" w:themeColor="text1"/>
              <w:sz w:val="24"/>
              <w:szCs w:val="24"/>
            </w:rPr>
          </w:pPr>
          <w:r>
            <w:rPr>
              <w:rFonts w:eastAsiaTheme="majorEastAsia" w:cs="Arial"/>
              <w:b/>
              <w:color w:val="000000" w:themeColor="text1"/>
              <w:sz w:val="24"/>
              <w:szCs w:val="24"/>
            </w:rPr>
            <w:t>TEMPLATE FOR SUMMARY OF PRODUCT CHARACTERISTICS (</w:t>
          </w:r>
          <w:proofErr w:type="spellStart"/>
          <w:r>
            <w:rPr>
              <w:rFonts w:eastAsiaTheme="majorEastAsia" w:cs="Arial"/>
              <w:b/>
              <w:color w:val="000000" w:themeColor="text1"/>
              <w:sz w:val="24"/>
              <w:szCs w:val="24"/>
            </w:rPr>
            <w:t>SmPC</w:t>
          </w:r>
          <w:proofErr w:type="spellEnd"/>
          <w:r>
            <w:rPr>
              <w:rFonts w:eastAsiaTheme="majorEastAsia" w:cs="Arial"/>
              <w:b/>
              <w:color w:val="000000" w:themeColor="text1"/>
              <w:sz w:val="24"/>
              <w:szCs w:val="24"/>
            </w:rPr>
            <w:t>) FOR HUMAN PHARMACEUTICAL PRODUCTS</w:t>
          </w:r>
        </w:p>
      </w:tc>
    </w:tr>
  </w:tbl>
  <w:p w:rsidR="00426E52" w:rsidRDefault="00426E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4DD" w:rsidRDefault="005A14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D02C6"/>
    <w:multiLevelType w:val="multilevel"/>
    <w:tmpl w:val="4ADC42EC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4E8633FE"/>
    <w:multiLevelType w:val="hybridMultilevel"/>
    <w:tmpl w:val="90F2FC2A"/>
    <w:lvl w:ilvl="0" w:tplc="04090017">
      <w:start w:val="1"/>
      <w:numFmt w:val="lowerLetter"/>
      <w:lvlText w:val="%1)"/>
      <w:lvlJc w:val="left"/>
      <w:pPr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" w15:restartNumberingAfterBreak="0">
    <w:nsid w:val="55B55B57"/>
    <w:multiLevelType w:val="multilevel"/>
    <w:tmpl w:val="CE50714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64C23B7A"/>
    <w:multiLevelType w:val="multilevel"/>
    <w:tmpl w:val="EB0269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E7B3B4A"/>
    <w:multiLevelType w:val="multilevel"/>
    <w:tmpl w:val="AD9A7C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3740007"/>
    <w:multiLevelType w:val="hybridMultilevel"/>
    <w:tmpl w:val="4A0AC106"/>
    <w:lvl w:ilvl="0" w:tplc="E452CE00">
      <w:start w:val="9"/>
      <w:numFmt w:val="lowerLetter"/>
      <w:lvlText w:val="(%1)"/>
      <w:lvlJc w:val="left"/>
      <w:pPr>
        <w:ind w:left="180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E52"/>
    <w:rsid w:val="003C0EA7"/>
    <w:rsid w:val="003E44BD"/>
    <w:rsid w:val="00426E52"/>
    <w:rsid w:val="005A14DD"/>
    <w:rsid w:val="0089100C"/>
    <w:rsid w:val="009F16F2"/>
    <w:rsid w:val="00A170BF"/>
    <w:rsid w:val="00E7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A63F6"/>
  <w15:chartTrackingRefBased/>
  <w15:docId w15:val="{304383ED-8696-4EDD-84DB-FF33B61E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4DD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6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E52"/>
  </w:style>
  <w:style w:type="paragraph" w:styleId="Footer">
    <w:name w:val="footer"/>
    <w:basedOn w:val="Normal"/>
    <w:link w:val="FooterChar"/>
    <w:uiPriority w:val="99"/>
    <w:unhideWhenUsed/>
    <w:rsid w:val="00426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E52"/>
  </w:style>
  <w:style w:type="table" w:styleId="TableProfessional">
    <w:name w:val="Table Professional"/>
    <w:basedOn w:val="TableNormal"/>
    <w:uiPriority w:val="99"/>
    <w:semiHidden/>
    <w:unhideWhenUsed/>
    <w:rsid w:val="003E44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5A1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da.or.ug" TargetMode="External"/><Relationship Id="rId2" Type="http://schemas.openxmlformats.org/officeDocument/2006/relationships/hyperlink" Target="mailto:ndaug@nda.or.ug" TargetMode="External"/><Relationship Id="rId1" Type="http://schemas.openxmlformats.org/officeDocument/2006/relationships/image" Target="media/image1.jpeg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Namyalo</dc:creator>
  <cp:keywords/>
  <dc:description/>
  <cp:lastModifiedBy>Dora Namyalo</cp:lastModifiedBy>
  <cp:revision>2</cp:revision>
  <dcterms:created xsi:type="dcterms:W3CDTF">2023-02-20T10:53:00Z</dcterms:created>
  <dcterms:modified xsi:type="dcterms:W3CDTF">2023-02-20T10:53:00Z</dcterms:modified>
</cp:coreProperties>
</file>