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6" w:rsidRPr="00205DC6" w:rsidRDefault="00205DC6" w:rsidP="00205DC6">
      <w:pPr>
        <w:widowControl w:val="0"/>
        <w:tabs>
          <w:tab w:val="left" w:pos="720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1.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Name of the Veterinary Pharmaceutical Product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2.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Qualitative and Quantitative Composition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810" w:hanging="9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API&lt;s&gt;: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810" w:hanging="9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&lt;Excipient(s):&gt;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810" w:hanging="9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For a full list of excipients, see section 6.1.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562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3.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Pharmaceutical Form</w:t>
      </w:r>
    </w:p>
    <w:p w:rsidR="00205DC6" w:rsidRPr="00205DC6" w:rsidRDefault="00205DC6" w:rsidP="00205DC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:rsidR="00205DC6" w:rsidRPr="00205DC6" w:rsidRDefault="00205DC6" w:rsidP="00205DC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 xml:space="preserve">It shall mean the form in which the product is presented.  </w:t>
      </w:r>
    </w:p>
    <w:p w:rsidR="00205DC6" w:rsidRPr="00205DC6" w:rsidRDefault="00205DC6" w:rsidP="00205DC6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3.1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The description of pharmaceutical form should include a full visual description of the appearance of the product e.g. colour, shape, markings and other relevant features.</w:t>
      </w:r>
    </w:p>
    <w:p w:rsidR="00205DC6" w:rsidRPr="00205DC6" w:rsidRDefault="00205DC6" w:rsidP="00205DC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4.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Clinical Particulars</w:t>
      </w:r>
    </w:p>
    <w:p w:rsidR="00205DC6" w:rsidRPr="00205DC6" w:rsidRDefault="00205DC6" w:rsidP="00205DC6">
      <w:pPr>
        <w:widowControl w:val="0"/>
        <w:tabs>
          <w:tab w:val="left" w:pos="720"/>
        </w:tabs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4.1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Target species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4.2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Indications for use, specifying the target species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4.3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Contraindications</w:t>
      </w:r>
    </w:p>
    <w:p w:rsidR="00205DC6" w:rsidRPr="00205DC6" w:rsidRDefault="00205DC6" w:rsidP="00205DC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05DC6">
        <w:rPr>
          <w:rFonts w:ascii="Arial" w:eastAsia="Times New Roman" w:hAnsi="Arial" w:cs="Arial"/>
          <w:sz w:val="24"/>
          <w:szCs w:val="24"/>
        </w:rPr>
        <w:t>&lt;None&gt;</w:t>
      </w:r>
    </w:p>
    <w:p w:rsidR="00205DC6" w:rsidRPr="00205DC6" w:rsidRDefault="00205DC6" w:rsidP="00205DC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05DC6">
        <w:rPr>
          <w:rFonts w:ascii="Arial" w:eastAsia="Times New Roman" w:hAnsi="Arial" w:cs="Arial"/>
          <w:sz w:val="24"/>
          <w:szCs w:val="24"/>
        </w:rPr>
        <w:t>&lt;Do not use in...&gt;</w:t>
      </w:r>
    </w:p>
    <w:p w:rsidR="00205DC6" w:rsidRPr="00205DC6" w:rsidRDefault="00205DC6" w:rsidP="00205DC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</w:rPr>
        <w:t>&lt;Do not use in case of hypersensitivity to the active substance(s) &lt;, &lt;or to any of the excipient(s).&gt;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4.4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Special warnings &lt;for each target species&gt;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4.5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Special precautions for use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205DC6">
        <w:rPr>
          <w:rFonts w:ascii="Arial" w:eastAsia="Times New Roman" w:hAnsi="Arial" w:cs="Arial"/>
          <w:sz w:val="24"/>
          <w:szCs w:val="24"/>
          <w:lang w:val="en-GB"/>
        </w:rPr>
        <w:t>i</w:t>
      </w:r>
      <w:proofErr w:type="spellEnd"/>
      <w:r w:rsidRPr="00205DC6">
        <w:rPr>
          <w:rFonts w:ascii="Arial" w:eastAsia="Times New Roman" w:hAnsi="Arial" w:cs="Arial"/>
          <w:sz w:val="24"/>
          <w:szCs w:val="24"/>
          <w:lang w:val="en-GB"/>
        </w:rPr>
        <w:t>)Special precautions for use in animals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ii)Special precautions to be taken by the person administering the veterinary Pharmaceutical product to animals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4.6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Adverse reactions (frequency and seriousness)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4.7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Use during pregnancy, lactation or lay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4.8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Interaction with other Pharmaceutical products and other forms of interaction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4.9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205DC6">
        <w:rPr>
          <w:rFonts w:ascii="Arial" w:eastAsia="Times New Roman" w:hAnsi="Arial" w:cs="Arial"/>
          <w:bCs/>
          <w:sz w:val="24"/>
          <w:szCs w:val="24"/>
          <w:lang w:val="en-GB"/>
        </w:rPr>
        <w:t>Amounts to be administered and administration route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4.10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Overdose (symptoms, emergency procedures, antidotes), if necessary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4.11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  <w:t>Withdrawal period(s)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Meat and offal&gt;&lt;Milk&gt;&lt;Eggs&gt;: {X} &lt;hours&gt;&lt;days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5.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PHARMACOLOGICAL PROPERTIES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205DC6">
        <w:rPr>
          <w:rFonts w:ascii="Arial" w:eastAsia="Times New Roman" w:hAnsi="Arial" w:cs="Arial"/>
          <w:sz w:val="24"/>
          <w:szCs w:val="24"/>
          <w:lang w:val="en-GB"/>
        </w:rPr>
        <w:t>Pharmacotherapeutic</w:t>
      </w:r>
      <w:proofErr w:type="spellEnd"/>
      <w:r w:rsidRPr="00205DC6">
        <w:rPr>
          <w:rFonts w:ascii="Arial" w:eastAsia="Times New Roman" w:hAnsi="Arial" w:cs="Arial"/>
          <w:sz w:val="24"/>
          <w:szCs w:val="24"/>
          <w:lang w:val="en-GB"/>
        </w:rPr>
        <w:t xml:space="preserve"> group: {group}, </w:t>
      </w:r>
      <w:proofErr w:type="spellStart"/>
      <w:r w:rsidRPr="00205DC6">
        <w:rPr>
          <w:rFonts w:ascii="Arial" w:eastAsia="Times New Roman" w:hAnsi="Arial" w:cs="Arial"/>
          <w:sz w:val="24"/>
          <w:szCs w:val="24"/>
          <w:lang w:val="en-GB"/>
        </w:rPr>
        <w:t>ATCvet</w:t>
      </w:r>
      <w:proofErr w:type="spellEnd"/>
      <w:r w:rsidRPr="00205DC6">
        <w:rPr>
          <w:rFonts w:ascii="Arial" w:eastAsia="Times New Roman" w:hAnsi="Arial" w:cs="Arial"/>
          <w:sz w:val="24"/>
          <w:szCs w:val="24"/>
          <w:lang w:val="en-GB"/>
        </w:rPr>
        <w:t xml:space="preserve"> code: {lowest available level (e.g. subgroup for chemical substance)}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PHARMACEUTICAL PARTICULARS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6.1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List of excipients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6.2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Incompatibilities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In the absence of compatibility studies, this veterinary Pharmaceutical product must not be mixed with other veterinary Pharmaceutical products.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6.3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Shelf life</w:t>
      </w:r>
    </w:p>
    <w:p w:rsidR="00205DC6" w:rsidRPr="00205DC6" w:rsidRDefault="00205DC6" w:rsidP="00205DC6">
      <w:pPr>
        <w:widowControl w:val="0"/>
        <w:numPr>
          <w:ilvl w:val="0"/>
          <w:numId w:val="1"/>
        </w:numPr>
        <w:adjustRightInd w:val="0"/>
        <w:spacing w:after="120" w:line="240" w:lineRule="auto"/>
        <w:ind w:left="1260" w:right="-318" w:hanging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Shelf-life of the veterinary Pharmaceutical product as packaged for sale.</w:t>
      </w:r>
    </w:p>
    <w:p w:rsidR="00205DC6" w:rsidRPr="00205DC6" w:rsidRDefault="00205DC6" w:rsidP="00205DC6">
      <w:pPr>
        <w:widowControl w:val="0"/>
        <w:numPr>
          <w:ilvl w:val="0"/>
          <w:numId w:val="1"/>
        </w:numPr>
        <w:adjustRightInd w:val="0"/>
        <w:spacing w:after="120" w:line="240" w:lineRule="auto"/>
        <w:ind w:left="1260" w:right="-318" w:hanging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 xml:space="preserve">Shelf-life after first opening the immediate packaging. </w:t>
      </w:r>
    </w:p>
    <w:p w:rsidR="00205DC6" w:rsidRPr="00205DC6" w:rsidRDefault="00205DC6" w:rsidP="00205DC6">
      <w:pPr>
        <w:widowControl w:val="0"/>
        <w:numPr>
          <w:ilvl w:val="0"/>
          <w:numId w:val="1"/>
        </w:numPr>
        <w:adjustRightInd w:val="0"/>
        <w:spacing w:after="120" w:line="240" w:lineRule="auto"/>
        <w:ind w:left="1260" w:right="-318" w:hanging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Shelf-life after dilution or reconstitution according to directions where applicable.</w:t>
      </w:r>
    </w:p>
    <w:p w:rsidR="00205DC6" w:rsidRPr="00205DC6" w:rsidRDefault="00205DC6" w:rsidP="00205DC6">
      <w:pPr>
        <w:widowControl w:val="0"/>
        <w:numPr>
          <w:ilvl w:val="0"/>
          <w:numId w:val="1"/>
        </w:numPr>
        <w:adjustRightInd w:val="0"/>
        <w:spacing w:after="0" w:line="240" w:lineRule="auto"/>
        <w:ind w:left="1267" w:right="-317" w:hanging="547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Shelf life after incorporation into meal or pelleted feed where applicable.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right="-317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6.4.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Special precautions for storage</w:t>
      </w:r>
    </w:p>
    <w:p w:rsidR="00205DC6" w:rsidRPr="00205DC6" w:rsidRDefault="00205DC6" w:rsidP="00205DC6">
      <w:pPr>
        <w:widowControl w:val="0"/>
        <w:numPr>
          <w:ilvl w:val="0"/>
          <w:numId w:val="2"/>
        </w:numPr>
        <w:adjustRightInd w:val="0"/>
        <w:spacing w:after="120" w:line="240" w:lineRule="auto"/>
        <w:ind w:left="1260" w:hanging="5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Do not store above &lt;25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C/30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</w:t>
      </w:r>
    </w:p>
    <w:p w:rsidR="00205DC6" w:rsidRPr="00205DC6" w:rsidRDefault="00205DC6" w:rsidP="00205DC6">
      <w:pPr>
        <w:widowControl w:val="0"/>
        <w:numPr>
          <w:ilvl w:val="0"/>
          <w:numId w:val="2"/>
        </w:numPr>
        <w:adjustRightInd w:val="0"/>
        <w:spacing w:after="120" w:line="240" w:lineRule="auto"/>
        <w:ind w:left="1260" w:hanging="5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Store below &lt;25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C/30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</w:t>
      </w:r>
    </w:p>
    <w:p w:rsidR="00205DC6" w:rsidRPr="00205DC6" w:rsidRDefault="00205DC6" w:rsidP="00205DC6">
      <w:pPr>
        <w:widowControl w:val="0"/>
        <w:numPr>
          <w:ilvl w:val="0"/>
          <w:numId w:val="2"/>
        </w:numPr>
        <w:adjustRightInd w:val="0"/>
        <w:spacing w:after="120" w:line="240" w:lineRule="auto"/>
        <w:ind w:left="1260" w:hanging="5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Store in a refrigerator (2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 – 8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C)</w:t>
      </w:r>
    </w:p>
    <w:p w:rsidR="00205DC6" w:rsidRPr="00205DC6" w:rsidRDefault="00205DC6" w:rsidP="00205DC6">
      <w:pPr>
        <w:widowControl w:val="0"/>
        <w:numPr>
          <w:ilvl w:val="0"/>
          <w:numId w:val="2"/>
        </w:numPr>
        <w:adjustRightInd w:val="0"/>
        <w:spacing w:after="120" w:line="240" w:lineRule="auto"/>
        <w:ind w:left="1260" w:hanging="540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Store and transport refrigerated (2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 – 8 </w:t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sym w:font="Symbol" w:char="F0B0"/>
      </w: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C)</w:t>
      </w:r>
    </w:p>
    <w:p w:rsidR="00205DC6" w:rsidRPr="00205DC6" w:rsidRDefault="00205DC6" w:rsidP="00205DC6">
      <w:pPr>
        <w:widowControl w:val="0"/>
        <w:numPr>
          <w:ilvl w:val="0"/>
          <w:numId w:val="2"/>
        </w:numPr>
        <w:adjustRightInd w:val="0"/>
        <w:spacing w:after="0" w:line="240" w:lineRule="auto"/>
        <w:ind w:left="1267" w:hanging="547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noProof/>
          <w:sz w:val="24"/>
          <w:szCs w:val="24"/>
          <w:lang w:val="en-GB"/>
        </w:rPr>
        <w:t>Protect from light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6.5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 xml:space="preserve">Nature and </w:t>
      </w:r>
      <w:r w:rsidRPr="00205DC6">
        <w:rPr>
          <w:rFonts w:ascii="Arial" w:eastAsia="Times New Roman" w:hAnsi="Arial" w:cs="Arial"/>
          <w:b/>
          <w:bCs/>
          <w:sz w:val="24"/>
          <w:szCs w:val="24"/>
          <w:lang w:val="en-GB"/>
        </w:rPr>
        <w:t>composition of immediate packaging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&lt;Not all pack sizes may be marketed.&gt;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right="-318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6.6</w:t>
      </w:r>
      <w:r w:rsidRPr="00205DC6">
        <w:rPr>
          <w:rFonts w:ascii="Arial" w:eastAsia="Times New Roman" w:hAnsi="Arial" w:cs="Arial"/>
          <w:sz w:val="24"/>
          <w:szCs w:val="24"/>
          <w:lang w:val="en-GB"/>
        </w:rPr>
        <w:tab/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Special precautions for the disposal of unused veterinary Pharmaceutical product or waste materials derived from the use of such products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&lt;Any unused veterinary Pharmaceutical product or waste materials derived from such veterinary Pharmaceutical products should be disposed of in accordance with local requirements.&gt;</w:t>
      </w: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right="-318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lastRenderedPageBreak/>
        <w:t>7.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HOLDER OF CERTIFICATE OF REGISTRATION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{Name and address}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Tel: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Fax: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E-mail: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8.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REGISTRATION NUMBER(S)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12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9.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DATE OF FIRST REGISTRATION/RENEWAL OF THE REGISTRATION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 xml:space="preserve">&lt;{DD/MM/YYYY}&gt; </w:t>
      </w:r>
      <w:proofErr w:type="gramStart"/>
      <w:r w:rsidRPr="00205DC6">
        <w:rPr>
          <w:rFonts w:ascii="Arial" w:eastAsia="Times New Roman" w:hAnsi="Arial" w:cs="Arial"/>
          <w:sz w:val="24"/>
          <w:szCs w:val="24"/>
          <w:lang w:val="en-GB"/>
        </w:rPr>
        <w:t>&lt;{</w:t>
      </w:r>
      <w:proofErr w:type="gramEnd"/>
      <w:r w:rsidRPr="00205DC6">
        <w:rPr>
          <w:rFonts w:ascii="Arial" w:eastAsia="Times New Roman" w:hAnsi="Arial" w:cs="Arial"/>
          <w:sz w:val="24"/>
          <w:szCs w:val="24"/>
          <w:lang w:val="en-GB"/>
        </w:rPr>
        <w:t>DD month YYYY}&gt;…</w:t>
      </w:r>
    </w:p>
    <w:p w:rsidR="00205DC6" w:rsidRPr="00205DC6" w:rsidRDefault="00205DC6" w:rsidP="00205DC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 w:hanging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>10</w:t>
      </w:r>
      <w:r w:rsidRPr="00205DC6">
        <w:rPr>
          <w:rFonts w:ascii="Arial" w:eastAsia="Times New Roman" w:hAnsi="Arial" w:cs="Arial"/>
          <w:b/>
          <w:sz w:val="24"/>
          <w:szCs w:val="24"/>
          <w:lang w:val="en-GB"/>
        </w:rPr>
        <w:tab/>
        <w:t>DATE OF REVISION OF THE TEXT</w:t>
      </w:r>
    </w:p>
    <w:p w:rsidR="00205DC6" w:rsidRPr="00205DC6" w:rsidRDefault="00205DC6" w:rsidP="00205DC6">
      <w:pPr>
        <w:widowControl w:val="0"/>
        <w:tabs>
          <w:tab w:val="left" w:pos="0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205DC6" w:rsidRPr="00205DC6" w:rsidRDefault="00205DC6" w:rsidP="00205DC6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/>
        </w:rPr>
      </w:pPr>
      <w:r w:rsidRPr="00205DC6">
        <w:rPr>
          <w:rFonts w:ascii="Arial" w:eastAsia="Times New Roman" w:hAnsi="Arial" w:cs="Arial"/>
          <w:sz w:val="24"/>
          <w:szCs w:val="24"/>
          <w:lang w:val="en-GB"/>
        </w:rPr>
        <w:t>{MM/YYYY} or &lt;month YYYY&gt;</w:t>
      </w:r>
    </w:p>
    <w:p w:rsidR="00F1536D" w:rsidRDefault="00205DC6" w:rsidP="00205DC6">
      <w:r w:rsidRPr="00205DC6">
        <w:rPr>
          <w:rFonts w:ascii="Bookman Old Style" w:eastAsia="Times New Roman" w:hAnsi="Bookman Old Style" w:cs="Arial"/>
          <w:sz w:val="24"/>
          <w:szCs w:val="24"/>
          <w:lang w:val="en-GB"/>
        </w:rPr>
        <w:br w:type="page"/>
      </w:r>
    </w:p>
    <w:sectPr w:rsidR="00F1536D" w:rsidSect="0042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8A" w:rsidRDefault="00445F8A" w:rsidP="00426E52">
      <w:pPr>
        <w:spacing w:after="0" w:line="240" w:lineRule="auto"/>
      </w:pPr>
      <w:r>
        <w:separator/>
      </w:r>
    </w:p>
  </w:endnote>
  <w:endnote w:type="continuationSeparator" w:id="0">
    <w:p w:rsidR="00445F8A" w:rsidRDefault="00445F8A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8A" w:rsidRDefault="00445F8A" w:rsidP="00426E52">
      <w:pPr>
        <w:spacing w:after="0" w:line="240" w:lineRule="auto"/>
      </w:pPr>
      <w:r>
        <w:separator/>
      </w:r>
    </w:p>
  </w:footnote>
  <w:footnote w:type="continuationSeparator" w:id="0">
    <w:p w:rsidR="00445F8A" w:rsidRDefault="00445F8A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85"/>
      <w:gridCol w:w="5611"/>
      <w:gridCol w:w="2242"/>
    </w:tblGrid>
    <w:tr w:rsidR="009F16F2" w:rsidRPr="00426E52" w:rsidTr="009E46ED">
      <w:trPr>
        <w:trHeight w:val="1430"/>
      </w:trPr>
      <w:tc>
        <w:tcPr>
          <w:tcW w:w="910" w:type="pct"/>
          <w:noWrap/>
          <w:vAlign w:val="center"/>
          <w:hideMark/>
        </w:tcPr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200" w:line="276" w:lineRule="auto"/>
            <w:jc w:val="center"/>
            <w:rPr>
              <w:rFonts w:ascii="Calibri" w:eastAsia="Calibri" w:hAnsi="Calibri" w:cs="Times New Roman"/>
            </w:rPr>
          </w:pPr>
          <w:r w:rsidRPr="00426E52">
            <w:rPr>
              <w:rFonts w:ascii="Arial" w:eastAsia="Calibri" w:hAnsi="Arial" w:cs="Arial"/>
              <w:noProof/>
              <w:color w:val="000000"/>
              <w:sz w:val="28"/>
            </w:rPr>
            <w:drawing>
              <wp:inline distT="0" distB="0" distL="0" distR="0" wp14:anchorId="1AB4592C" wp14:editId="13CDB13F">
                <wp:extent cx="810895" cy="795020"/>
                <wp:effectExtent l="0" t="0" r="0" b="0"/>
                <wp:docPr id="1" name="Picture 1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hideMark/>
        </w:tcPr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426E52">
            <w:rPr>
              <w:rFonts w:ascii="Arial" w:eastAsia="Calibri" w:hAnsi="Arial" w:cs="Arial"/>
              <w:b/>
            </w:rPr>
            <w:t>National Drug Authority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26E52">
            <w:rPr>
              <w:rFonts w:ascii="Arial" w:eastAsia="Calibri" w:hAnsi="Arial" w:cs="Arial"/>
            </w:rPr>
            <w:t xml:space="preserve">Plot No. 19 </w:t>
          </w:r>
          <w:proofErr w:type="spellStart"/>
          <w:r w:rsidRPr="00426E52">
            <w:rPr>
              <w:rFonts w:ascii="Arial" w:eastAsia="Calibri" w:hAnsi="Arial" w:cs="Arial"/>
            </w:rPr>
            <w:t>Rumee</w:t>
          </w:r>
          <w:proofErr w:type="spellEnd"/>
          <w:r w:rsidRPr="00426E52">
            <w:rPr>
              <w:rFonts w:ascii="Arial" w:eastAsia="Calibri" w:hAnsi="Arial" w:cs="Arial"/>
            </w:rPr>
            <w:t xml:space="preserve"> Towers, Lumumba Avenue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26E52">
            <w:rPr>
              <w:rFonts w:ascii="Arial" w:eastAsia="Calibri" w:hAnsi="Arial" w:cs="Arial"/>
            </w:rPr>
            <w:t>P.O. Box 23096,</w:t>
          </w:r>
          <w:r w:rsidRPr="00426E52">
            <w:rPr>
              <w:rFonts w:ascii="Arial" w:eastAsia="Calibri" w:hAnsi="Arial" w:cs="Arial"/>
              <w:bCs/>
            </w:rPr>
            <w:t xml:space="preserve"> Kampala, Uganda.</w: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26E52">
            <w:rPr>
              <w:rFonts w:ascii="Arial" w:eastAsia="Calibri" w:hAnsi="Arial" w:cs="Arial"/>
            </w:rPr>
            <w:t xml:space="preserve">email: </w:t>
          </w:r>
          <w:hyperlink r:id="rId2" w:history="1">
            <w:r w:rsidRPr="00426E52">
              <w:rPr>
                <w:rFonts w:ascii="Arial" w:eastAsia="Calibri" w:hAnsi="Arial" w:cs="Arial"/>
                <w:color w:val="0000FF"/>
                <w:u w:val="single"/>
              </w:rPr>
              <w:t>ndaug@nda.or.ug</w:t>
            </w:r>
          </w:hyperlink>
          <w:r w:rsidRPr="00426E52">
            <w:rPr>
              <w:rFonts w:ascii="Arial" w:eastAsia="Calibri" w:hAnsi="Arial" w:cs="Arial"/>
            </w:rPr>
            <w:t xml:space="preserve">; website: </w:t>
          </w:r>
          <w:hyperlink r:id="rId3" w:history="1">
            <w:r w:rsidRPr="00426E52">
              <w:rPr>
                <w:rFonts w:ascii="Arial" w:eastAsia="Calibri" w:hAnsi="Arial" w:cs="Arial"/>
                <w:color w:val="0000FF"/>
                <w:u w:val="single"/>
              </w:rPr>
              <w:t>www.nda.or.ug</w:t>
            </w:r>
          </w:hyperlink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426E52">
            <w:rPr>
              <w:rFonts w:ascii="Arial" w:eastAsia="Calibri" w:hAnsi="Arial" w:cs="Arial"/>
            </w:rPr>
            <w:t>Tel: +256-417788100</w:t>
          </w:r>
        </w:p>
      </w:tc>
      <w:tc>
        <w:tcPr>
          <w:tcW w:w="1152" w:type="pct"/>
          <w:hideMark/>
        </w:tcPr>
        <w:p w:rsidR="00426E52" w:rsidRPr="00426E52" w:rsidRDefault="00565D75" w:rsidP="00426E52">
          <w:pPr>
            <w:tabs>
              <w:tab w:val="center" w:pos="4680"/>
              <w:tab w:val="right" w:pos="9360"/>
              <w:tab w:val="right" w:pos="9639"/>
            </w:tabs>
            <w:spacing w:after="200" w:line="276" w:lineRule="auto"/>
            <w:rPr>
              <w:rFonts w:ascii="Calibri" w:eastAsia="Calibri" w:hAnsi="Calibri" w:cs="Times New Roman"/>
              <w:lang w:eastAsia="x-none"/>
            </w:rPr>
          </w:pPr>
          <w:r w:rsidRPr="00426E52">
            <w:rPr>
              <w:rFonts w:ascii="Arial" w:eastAsia="Calibri" w:hAnsi="Arial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pt;height:30pt">
                <v:imagedata r:id="rId4" o:title=""/>
              </v:shape>
              <o:OLEObject Type="Embed" ProgID="Visio.Drawing.11" ShapeID="_x0000_i1025" DrawAspect="Content" ObjectID="_1738649592" r:id="rId5"/>
            </w:object>
          </w:r>
        </w:p>
        <w:p w:rsidR="00426E52" w:rsidRPr="00426E52" w:rsidRDefault="00426E52" w:rsidP="00426E52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rPr>
              <w:rFonts w:ascii="Arial" w:eastAsia="Calibri" w:hAnsi="Arial" w:cs="Arial"/>
              <w:lang w:eastAsia="x-none"/>
            </w:rPr>
          </w:pPr>
          <w:r w:rsidRPr="00426E52">
            <w:rPr>
              <w:rFonts w:ascii="Arial" w:eastAsia="Calibri" w:hAnsi="Arial" w:cs="Arial"/>
              <w:lang w:eastAsia="x-none"/>
            </w:rPr>
            <w:t xml:space="preserve">Page 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426E52">
            <w:rPr>
              <w:rFonts w:ascii="Arial" w:eastAsia="Calibri" w:hAnsi="Arial" w:cs="Arial"/>
              <w:bCs/>
              <w:lang w:eastAsia="x-none"/>
            </w:rPr>
            <w:instrText xml:space="preserve"> PAGE  \* Arabic  \* MERGEFORMAT </w:instrTex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F64E04">
            <w:rPr>
              <w:rFonts w:ascii="Arial" w:eastAsia="Calibri" w:hAnsi="Arial" w:cs="Arial"/>
              <w:bCs/>
              <w:noProof/>
              <w:lang w:eastAsia="x-none"/>
            </w:rPr>
            <w:t>1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end"/>
          </w:r>
          <w:r w:rsidRPr="00426E52">
            <w:rPr>
              <w:rFonts w:ascii="Arial" w:eastAsia="Calibri" w:hAnsi="Arial" w:cs="Arial"/>
              <w:lang w:eastAsia="x-none"/>
            </w:rPr>
            <w:t xml:space="preserve"> of 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426E52">
            <w:rPr>
              <w:rFonts w:ascii="Arial" w:eastAsia="Calibri" w:hAnsi="Arial" w:cs="Arial"/>
              <w:bCs/>
              <w:lang w:eastAsia="x-none"/>
            </w:rPr>
            <w:instrText xml:space="preserve"> NUMPAGES  \* Arabic  \* MERGEFORMAT </w:instrTex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F64E04">
            <w:rPr>
              <w:rFonts w:ascii="Arial" w:eastAsia="Calibri" w:hAnsi="Arial" w:cs="Arial"/>
              <w:bCs/>
              <w:noProof/>
              <w:lang w:eastAsia="x-none"/>
            </w:rPr>
            <w:t>4</w:t>
          </w:r>
          <w:r w:rsidRPr="00426E52">
            <w:rPr>
              <w:rFonts w:ascii="Arial" w:eastAsia="Calibri" w:hAnsi="Arial" w:cs="Arial"/>
              <w:bCs/>
              <w:lang w:eastAsia="x-none"/>
            </w:rPr>
            <w:fldChar w:fldCharType="end"/>
          </w:r>
        </w:p>
      </w:tc>
    </w:tr>
    <w:tr w:rsidR="00426E52" w:rsidRPr="00426E52" w:rsidTr="009E46ED">
      <w:trPr>
        <w:trHeight w:val="313"/>
      </w:trPr>
      <w:tc>
        <w:tcPr>
          <w:tcW w:w="5000" w:type="pct"/>
          <w:gridSpan w:val="3"/>
          <w:noWrap/>
          <w:vAlign w:val="bottom"/>
          <w:hideMark/>
        </w:tcPr>
        <w:p w:rsidR="00426E52" w:rsidRPr="00426E52" w:rsidRDefault="00205DC6" w:rsidP="00F64E04">
          <w:pPr>
            <w:spacing w:after="100" w:afterAutospacing="1" w:line="240" w:lineRule="auto"/>
            <w:contextualSpacing/>
            <w:jc w:val="center"/>
            <w:rPr>
              <w:rFonts w:ascii="Arial" w:eastAsia="Times New Roman" w:hAnsi="Arial" w:cs="Arial"/>
              <w:i/>
              <w:lang w:val="en-GB" w:eastAsia="x-none"/>
            </w:rPr>
          </w:pPr>
          <w:r w:rsidRPr="00205DC6">
            <w:rPr>
              <w:rFonts w:ascii="Arial" w:eastAsia="Times New Roman" w:hAnsi="Arial" w:cs="Arial"/>
              <w:b/>
              <w:sz w:val="24"/>
              <w:szCs w:val="24"/>
              <w:lang w:val="en-GB" w:eastAsia="x-none"/>
            </w:rPr>
            <w:t>TEMPLATE FOR THE SUMMARY OF PRODUCT CHARACTERISTICS</w:t>
          </w:r>
          <w:r>
            <w:rPr>
              <w:rFonts w:ascii="Arial" w:eastAsia="Times New Roman" w:hAnsi="Arial" w:cs="Arial"/>
              <w:b/>
              <w:sz w:val="24"/>
              <w:szCs w:val="24"/>
              <w:lang w:val="en-GB" w:eastAsia="x-none"/>
            </w:rPr>
            <w:t xml:space="preserve"> </w:t>
          </w:r>
          <w:bookmarkStart w:id="0" w:name="_GoBack"/>
          <w:bookmarkEnd w:id="0"/>
          <w:r w:rsidRPr="00205DC6">
            <w:rPr>
              <w:rFonts w:ascii="Arial" w:eastAsia="Times New Roman" w:hAnsi="Arial" w:cs="Arial"/>
              <w:b/>
              <w:sz w:val="24"/>
              <w:szCs w:val="24"/>
              <w:lang w:val="en-GB" w:eastAsia="x-none"/>
            </w:rPr>
            <w:t>FOR VETERINARY PHARMACEUTICAL PRODUCTS</w:t>
          </w:r>
        </w:p>
      </w:tc>
    </w:tr>
  </w:tbl>
  <w:p w:rsidR="00426E52" w:rsidRDefault="00426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FE" w:rsidRDefault="00093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1083"/>
    <w:multiLevelType w:val="hybridMultilevel"/>
    <w:tmpl w:val="2FC2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5DF0"/>
    <w:multiLevelType w:val="hybridMultilevel"/>
    <w:tmpl w:val="20FAA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0939FE"/>
    <w:rsid w:val="00205DC6"/>
    <w:rsid w:val="003C0EA7"/>
    <w:rsid w:val="00426E52"/>
    <w:rsid w:val="00445F8A"/>
    <w:rsid w:val="00565D75"/>
    <w:rsid w:val="00952D3F"/>
    <w:rsid w:val="009F16F2"/>
    <w:rsid w:val="00A170BF"/>
    <w:rsid w:val="00BB61BE"/>
    <w:rsid w:val="00F64E04"/>
    <w:rsid w:val="00F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4113A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3</cp:revision>
  <dcterms:created xsi:type="dcterms:W3CDTF">2023-02-20T13:06:00Z</dcterms:created>
  <dcterms:modified xsi:type="dcterms:W3CDTF">2023-02-23T06:26:00Z</dcterms:modified>
</cp:coreProperties>
</file>